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7" w:rightFromText="187" w:horzAnchor="margin" w:tblpXSpec="center" w:tblpY="2881"/>
        <w:tblW w:w="4238" w:type="pct"/>
        <w:tblBorders>
          <w:left w:val="single" w:sz="18" w:space="0" w:color="4F81BD"/>
        </w:tblBorders>
        <w:tblLook w:val="04A0" w:firstRow="1" w:lastRow="0" w:firstColumn="1" w:lastColumn="0" w:noHBand="0" w:noVBand="1"/>
      </w:tblPr>
      <w:tblGrid>
        <w:gridCol w:w="7304"/>
      </w:tblGrid>
      <w:tr w:rsidR="00B04290" w:rsidRPr="00B04290" w14:paraId="254DBCAE" w14:textId="77777777" w:rsidTr="00E103D6">
        <w:tc>
          <w:tcPr>
            <w:tcW w:w="8432" w:type="dxa"/>
            <w:tcMar>
              <w:top w:w="216" w:type="dxa"/>
              <w:left w:w="115" w:type="dxa"/>
              <w:bottom w:w="216" w:type="dxa"/>
              <w:right w:w="115" w:type="dxa"/>
            </w:tcMar>
          </w:tcPr>
          <w:p w14:paraId="735F2CFC" w14:textId="77777777" w:rsidR="00B04290" w:rsidRPr="00B04290" w:rsidRDefault="00B04290" w:rsidP="00E103D6">
            <w:pPr>
              <w:pStyle w:val="NoSpacing"/>
              <w:rPr>
                <w:rFonts w:asciiTheme="majorHAnsi" w:eastAsia="Times New Roman" w:hAnsiTheme="majorHAnsi" w:cstheme="majorHAnsi"/>
                <w:b/>
                <w:bCs/>
              </w:rPr>
            </w:pPr>
            <w:r w:rsidRPr="00B04290">
              <w:rPr>
                <w:rFonts w:asciiTheme="majorHAnsi" w:eastAsia="Times New Roman" w:hAnsiTheme="majorHAnsi" w:cstheme="majorHAnsi"/>
                <w:b/>
                <w:bCs/>
              </w:rPr>
              <w:t>UNDP</w:t>
            </w:r>
          </w:p>
        </w:tc>
      </w:tr>
      <w:tr w:rsidR="00B04290" w:rsidRPr="00B04290" w14:paraId="2D6FA4D9" w14:textId="77777777" w:rsidTr="00E103D6">
        <w:tc>
          <w:tcPr>
            <w:tcW w:w="8432" w:type="dxa"/>
          </w:tcPr>
          <w:p w14:paraId="324C1FE0" w14:textId="77777777" w:rsidR="00B04290" w:rsidRPr="00B04290" w:rsidRDefault="00B04290" w:rsidP="00E103D6">
            <w:pPr>
              <w:pStyle w:val="NoSpacing"/>
              <w:rPr>
                <w:rFonts w:asciiTheme="majorHAnsi" w:eastAsia="Times New Roman" w:hAnsiTheme="majorHAnsi" w:cstheme="majorHAnsi"/>
                <w:color w:val="4F81BD"/>
                <w:sz w:val="80"/>
                <w:szCs w:val="80"/>
              </w:rPr>
            </w:pPr>
            <w:r w:rsidRPr="00B04290">
              <w:rPr>
                <w:rFonts w:asciiTheme="majorHAnsi" w:eastAsia="Times New Roman" w:hAnsiTheme="majorHAnsi" w:cstheme="majorHAnsi"/>
                <w:color w:val="1F497D"/>
                <w:sz w:val="72"/>
                <w:szCs w:val="72"/>
              </w:rPr>
              <w:t xml:space="preserve">UNMSM Operational Guidelines </w:t>
            </w:r>
          </w:p>
        </w:tc>
      </w:tr>
      <w:tr w:rsidR="00B04290" w:rsidRPr="00B04290" w14:paraId="75708179" w14:textId="77777777" w:rsidTr="00E103D6">
        <w:tc>
          <w:tcPr>
            <w:tcW w:w="8432" w:type="dxa"/>
            <w:tcMar>
              <w:top w:w="216" w:type="dxa"/>
              <w:left w:w="115" w:type="dxa"/>
              <w:bottom w:w="216" w:type="dxa"/>
              <w:right w:w="115" w:type="dxa"/>
            </w:tcMar>
          </w:tcPr>
          <w:p w14:paraId="2F13F5D2" w14:textId="77777777" w:rsidR="00B04290" w:rsidRPr="00B04290" w:rsidRDefault="00B04290" w:rsidP="00E103D6">
            <w:pPr>
              <w:pStyle w:val="NoSpacing"/>
              <w:rPr>
                <w:rFonts w:asciiTheme="majorHAnsi" w:eastAsia="Times New Roman" w:hAnsiTheme="majorHAnsi" w:cstheme="majorHAnsi"/>
              </w:rPr>
            </w:pPr>
            <w:r w:rsidRPr="00B04290">
              <w:rPr>
                <w:rFonts w:asciiTheme="majorHAnsi" w:eastAsia="Times New Roman" w:hAnsiTheme="majorHAnsi" w:cstheme="majorHAnsi"/>
              </w:rPr>
              <w:t>Operational Guidelines on the UN Mandated Security Measures required for UNDP Personnel and Premises</w:t>
            </w:r>
          </w:p>
          <w:p w14:paraId="2BCA3CBA" w14:textId="77777777" w:rsidR="00B04290" w:rsidRPr="00B04290" w:rsidRDefault="00B04290" w:rsidP="00E103D6">
            <w:pPr>
              <w:pStyle w:val="NoSpacing"/>
              <w:rPr>
                <w:rFonts w:asciiTheme="majorHAnsi" w:eastAsia="Times New Roman" w:hAnsiTheme="majorHAnsi" w:cstheme="majorHAnsi"/>
              </w:rPr>
            </w:pPr>
          </w:p>
          <w:p w14:paraId="08887155" w14:textId="77777777" w:rsidR="00B04290" w:rsidRPr="00B04290" w:rsidRDefault="00B04290" w:rsidP="00E103D6">
            <w:pPr>
              <w:pStyle w:val="NoSpacing"/>
              <w:rPr>
                <w:rFonts w:asciiTheme="majorHAnsi" w:eastAsia="Times New Roman" w:hAnsiTheme="majorHAnsi" w:cstheme="majorHAnsi"/>
              </w:rPr>
            </w:pPr>
          </w:p>
        </w:tc>
      </w:tr>
    </w:tbl>
    <w:p w14:paraId="7823F69D" w14:textId="77777777" w:rsidR="00B04290" w:rsidRPr="00B04290" w:rsidRDefault="00B04290" w:rsidP="00B04290">
      <w:pPr>
        <w:jc w:val="right"/>
        <w:rPr>
          <w:rFonts w:asciiTheme="majorHAnsi" w:hAnsiTheme="majorHAnsi" w:cstheme="majorHAnsi"/>
        </w:rPr>
      </w:pPr>
      <w:r w:rsidRPr="00B04290">
        <w:rPr>
          <w:rFonts w:asciiTheme="majorHAnsi" w:hAnsiTheme="majorHAnsi" w:cstheme="majorHAnsi"/>
          <w:noProof/>
        </w:rPr>
        <w:drawing>
          <wp:inline distT="0" distB="0" distL="0" distR="0" wp14:anchorId="56F24EEC" wp14:editId="28CA8FE6">
            <wp:extent cx="466090" cy="948690"/>
            <wp:effectExtent l="0" t="0" r="0" b="3810"/>
            <wp:docPr id="1924242432" name="Picture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3">
                      <a:extLst>
                        <a:ext uri="{28A0092B-C50C-407E-A947-70E740481C1C}">
                          <a14:useLocalDpi xmlns:a14="http://schemas.microsoft.com/office/drawing/2010/main" val="0"/>
                        </a:ext>
                      </a:extLst>
                    </a:blip>
                    <a:stretch>
                      <a:fillRect/>
                    </a:stretch>
                  </pic:blipFill>
                  <pic:spPr>
                    <a:xfrm>
                      <a:off x="0" y="0"/>
                      <a:ext cx="466090" cy="948690"/>
                    </a:xfrm>
                    <a:prstGeom prst="rect">
                      <a:avLst/>
                    </a:prstGeom>
                  </pic:spPr>
                </pic:pic>
              </a:graphicData>
            </a:graphic>
          </wp:inline>
        </w:drawing>
      </w:r>
    </w:p>
    <w:p w14:paraId="16B8E863" w14:textId="77777777" w:rsidR="00B04290" w:rsidRPr="00B04290" w:rsidRDefault="00B04290" w:rsidP="00B04290">
      <w:pPr>
        <w:rPr>
          <w:rFonts w:asciiTheme="majorHAnsi" w:hAnsiTheme="majorHAnsi" w:cstheme="majorHAnsi"/>
        </w:rPr>
      </w:pPr>
    </w:p>
    <w:p w14:paraId="4EB7E17A" w14:textId="77777777" w:rsidR="00B04290" w:rsidRPr="00B04290" w:rsidRDefault="00B04290" w:rsidP="00B04290">
      <w:pPr>
        <w:pStyle w:val="Heading1"/>
        <w:overflowPunct w:val="0"/>
        <w:autoSpaceDE w:val="0"/>
        <w:autoSpaceDN w:val="0"/>
        <w:adjustRightInd w:val="0"/>
        <w:textAlignment w:val="baseline"/>
        <w:rPr>
          <w:rFonts w:asciiTheme="majorHAnsi" w:hAnsiTheme="majorHAnsi" w:cstheme="majorHAnsi"/>
          <w:sz w:val="20"/>
          <w:szCs w:val="20"/>
        </w:rPr>
      </w:pPr>
      <w:r w:rsidRPr="00B04290">
        <w:rPr>
          <w:rFonts w:asciiTheme="majorHAnsi" w:hAnsiTheme="majorHAnsi" w:cstheme="majorHAnsi"/>
          <w:sz w:val="20"/>
          <w:szCs w:val="20"/>
        </w:rPr>
        <w:t>DOCUMENT CONTROL</w:t>
      </w:r>
    </w:p>
    <w:p w14:paraId="7F51D20B" w14:textId="77777777" w:rsidR="00B04290" w:rsidRPr="00B04290" w:rsidRDefault="00B04290" w:rsidP="00B04290">
      <w:pPr>
        <w:spacing w:before="120"/>
        <w:rPr>
          <w:rFonts w:asciiTheme="majorHAnsi" w:hAnsiTheme="majorHAnsi" w:cstheme="majorHAnsi"/>
          <w:b/>
          <w:sz w:val="20"/>
          <w:szCs w:val="20"/>
        </w:rPr>
      </w:pPr>
    </w:p>
    <w:tbl>
      <w:tblPr>
        <w:tblW w:w="4721" w:type="pct"/>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3243"/>
        <w:gridCol w:w="4900"/>
      </w:tblGrid>
      <w:tr w:rsidR="00B04290" w:rsidRPr="00B04290" w14:paraId="62C1ABC9" w14:textId="77777777" w:rsidTr="00E103D6">
        <w:trPr>
          <w:trHeight w:val="211"/>
          <w:jc w:val="center"/>
        </w:trPr>
        <w:tc>
          <w:tcPr>
            <w:tcW w:w="1991" w:type="pct"/>
            <w:tcBorders>
              <w:top w:val="single" w:sz="6" w:space="0" w:color="auto"/>
              <w:left w:val="single" w:sz="6" w:space="0" w:color="auto"/>
              <w:bottom w:val="single" w:sz="6" w:space="0" w:color="auto"/>
              <w:right w:val="single" w:sz="6" w:space="0" w:color="auto"/>
            </w:tcBorders>
            <w:shd w:val="clear" w:color="auto" w:fill="auto"/>
          </w:tcPr>
          <w:p w14:paraId="00F3F034" w14:textId="77777777" w:rsidR="00B04290" w:rsidRPr="007519E4" w:rsidRDefault="00B04290" w:rsidP="00E103D6">
            <w:pPr>
              <w:spacing w:before="20" w:after="20"/>
              <w:rPr>
                <w:rFonts w:asciiTheme="majorHAnsi" w:hAnsiTheme="majorHAnsi" w:cstheme="majorHAnsi"/>
                <w:b/>
                <w:sz w:val="18"/>
                <w:szCs w:val="18"/>
              </w:rPr>
            </w:pPr>
            <w:r w:rsidRPr="007519E4">
              <w:rPr>
                <w:rFonts w:asciiTheme="majorHAnsi" w:hAnsiTheme="majorHAnsi" w:cstheme="majorHAnsi"/>
                <w:b/>
                <w:sz w:val="18"/>
                <w:szCs w:val="18"/>
              </w:rPr>
              <w:t>Document Name</w:t>
            </w:r>
          </w:p>
        </w:tc>
        <w:tc>
          <w:tcPr>
            <w:tcW w:w="3009" w:type="pct"/>
            <w:tcBorders>
              <w:top w:val="single" w:sz="6" w:space="0" w:color="auto"/>
              <w:left w:val="single" w:sz="6" w:space="0" w:color="auto"/>
              <w:bottom w:val="single" w:sz="6" w:space="0" w:color="auto"/>
              <w:right w:val="single" w:sz="6" w:space="0" w:color="auto"/>
            </w:tcBorders>
          </w:tcPr>
          <w:p w14:paraId="2952A647" w14:textId="77777777" w:rsidR="00B04290" w:rsidRPr="007519E4" w:rsidRDefault="00B04290" w:rsidP="00E103D6">
            <w:pPr>
              <w:rPr>
                <w:rFonts w:asciiTheme="majorHAnsi" w:hAnsiTheme="majorHAnsi" w:cstheme="majorHAnsi"/>
                <w:sz w:val="18"/>
                <w:szCs w:val="18"/>
              </w:rPr>
            </w:pPr>
            <w:r w:rsidRPr="007519E4">
              <w:rPr>
                <w:rFonts w:asciiTheme="majorHAnsi" w:hAnsiTheme="majorHAnsi" w:cstheme="majorHAnsi"/>
                <w:sz w:val="18"/>
                <w:szCs w:val="18"/>
              </w:rPr>
              <w:t xml:space="preserve">Operational Guidelines in regard to the UN Mandated Security Measures Required for UNDP Personnel and Premises </w:t>
            </w:r>
          </w:p>
        </w:tc>
      </w:tr>
      <w:tr w:rsidR="00B04290" w:rsidRPr="00B04290" w14:paraId="3F1B8DBE" w14:textId="77777777" w:rsidTr="00E103D6">
        <w:trPr>
          <w:trHeight w:val="222"/>
          <w:jc w:val="center"/>
        </w:trPr>
        <w:tc>
          <w:tcPr>
            <w:tcW w:w="1991" w:type="pct"/>
            <w:tcBorders>
              <w:top w:val="single" w:sz="6" w:space="0" w:color="auto"/>
              <w:left w:val="single" w:sz="6" w:space="0" w:color="auto"/>
              <w:bottom w:val="single" w:sz="6" w:space="0" w:color="auto"/>
              <w:right w:val="single" w:sz="6" w:space="0" w:color="auto"/>
            </w:tcBorders>
            <w:shd w:val="clear" w:color="auto" w:fill="auto"/>
          </w:tcPr>
          <w:p w14:paraId="3AE839FD" w14:textId="77777777" w:rsidR="00B04290" w:rsidRPr="007519E4" w:rsidRDefault="00B04290" w:rsidP="00E103D6">
            <w:pPr>
              <w:spacing w:before="20" w:after="20"/>
              <w:rPr>
                <w:rFonts w:asciiTheme="majorHAnsi" w:hAnsiTheme="majorHAnsi" w:cstheme="majorHAnsi"/>
                <w:b/>
                <w:sz w:val="18"/>
                <w:szCs w:val="18"/>
              </w:rPr>
            </w:pPr>
            <w:r w:rsidRPr="007519E4">
              <w:rPr>
                <w:rFonts w:asciiTheme="majorHAnsi" w:hAnsiTheme="majorHAnsi" w:cstheme="majorHAnsi"/>
                <w:b/>
                <w:sz w:val="18"/>
                <w:szCs w:val="18"/>
              </w:rPr>
              <w:t>Language(s)</w:t>
            </w:r>
          </w:p>
        </w:tc>
        <w:tc>
          <w:tcPr>
            <w:tcW w:w="3009" w:type="pct"/>
            <w:tcBorders>
              <w:top w:val="single" w:sz="6" w:space="0" w:color="auto"/>
              <w:left w:val="single" w:sz="6" w:space="0" w:color="auto"/>
              <w:bottom w:val="single" w:sz="6" w:space="0" w:color="auto"/>
              <w:right w:val="single" w:sz="6" w:space="0" w:color="auto"/>
            </w:tcBorders>
          </w:tcPr>
          <w:p w14:paraId="7A0579B8" w14:textId="77777777" w:rsidR="00B04290" w:rsidRPr="007519E4" w:rsidRDefault="00B04290" w:rsidP="00E103D6">
            <w:pPr>
              <w:spacing w:before="20" w:after="20"/>
              <w:rPr>
                <w:rFonts w:asciiTheme="majorHAnsi" w:hAnsiTheme="majorHAnsi" w:cstheme="majorHAnsi"/>
                <w:sz w:val="18"/>
                <w:szCs w:val="18"/>
              </w:rPr>
            </w:pPr>
            <w:r w:rsidRPr="007519E4">
              <w:rPr>
                <w:rFonts w:asciiTheme="majorHAnsi" w:hAnsiTheme="majorHAnsi" w:cstheme="majorHAnsi"/>
                <w:sz w:val="18"/>
                <w:szCs w:val="18"/>
              </w:rPr>
              <w:t>English</w:t>
            </w:r>
          </w:p>
        </w:tc>
      </w:tr>
      <w:tr w:rsidR="00B04290" w:rsidRPr="00B04290" w14:paraId="2ED27D23" w14:textId="77777777" w:rsidTr="00E103D6">
        <w:trPr>
          <w:trHeight w:val="211"/>
          <w:jc w:val="center"/>
        </w:trPr>
        <w:tc>
          <w:tcPr>
            <w:tcW w:w="1991" w:type="pct"/>
            <w:tcBorders>
              <w:top w:val="single" w:sz="6" w:space="0" w:color="auto"/>
              <w:left w:val="single" w:sz="6" w:space="0" w:color="auto"/>
              <w:bottom w:val="single" w:sz="6" w:space="0" w:color="auto"/>
              <w:right w:val="single" w:sz="6" w:space="0" w:color="auto"/>
            </w:tcBorders>
            <w:shd w:val="clear" w:color="auto" w:fill="auto"/>
          </w:tcPr>
          <w:p w14:paraId="1F197C48" w14:textId="77777777" w:rsidR="00B04290" w:rsidRPr="007519E4" w:rsidRDefault="00B04290" w:rsidP="00E103D6">
            <w:pPr>
              <w:spacing w:before="20" w:after="20"/>
              <w:rPr>
                <w:rFonts w:asciiTheme="majorHAnsi" w:hAnsiTheme="majorHAnsi" w:cstheme="majorHAnsi"/>
                <w:b/>
                <w:sz w:val="18"/>
                <w:szCs w:val="18"/>
              </w:rPr>
            </w:pPr>
            <w:r w:rsidRPr="007519E4">
              <w:rPr>
                <w:rFonts w:asciiTheme="majorHAnsi" w:hAnsiTheme="majorHAnsi" w:cstheme="majorHAnsi"/>
                <w:b/>
                <w:sz w:val="18"/>
                <w:szCs w:val="18"/>
              </w:rPr>
              <w:t>Responsible Team</w:t>
            </w:r>
          </w:p>
        </w:tc>
        <w:tc>
          <w:tcPr>
            <w:tcW w:w="3009" w:type="pct"/>
            <w:tcBorders>
              <w:top w:val="single" w:sz="6" w:space="0" w:color="auto"/>
              <w:left w:val="single" w:sz="6" w:space="0" w:color="auto"/>
              <w:bottom w:val="single" w:sz="6" w:space="0" w:color="auto"/>
              <w:right w:val="single" w:sz="6" w:space="0" w:color="auto"/>
            </w:tcBorders>
          </w:tcPr>
          <w:p w14:paraId="2FC189DC" w14:textId="77777777" w:rsidR="00B04290" w:rsidRPr="007519E4" w:rsidRDefault="00B04290" w:rsidP="00E103D6">
            <w:pPr>
              <w:spacing w:before="20" w:after="20" w:line="259" w:lineRule="auto"/>
              <w:rPr>
                <w:rFonts w:asciiTheme="majorHAnsi" w:hAnsiTheme="majorHAnsi" w:cstheme="majorHAnsi"/>
                <w:sz w:val="18"/>
                <w:szCs w:val="18"/>
              </w:rPr>
            </w:pPr>
            <w:r w:rsidRPr="007519E4">
              <w:rPr>
                <w:rFonts w:asciiTheme="majorHAnsi" w:hAnsiTheme="majorHAnsi" w:cstheme="majorHAnsi"/>
                <w:sz w:val="18"/>
                <w:szCs w:val="18"/>
              </w:rPr>
              <w:t>BMS/ Security Office</w:t>
            </w:r>
          </w:p>
        </w:tc>
      </w:tr>
      <w:tr w:rsidR="00B04290" w:rsidRPr="00B04290" w14:paraId="44D86010" w14:textId="77777777" w:rsidTr="00E103D6">
        <w:trPr>
          <w:trHeight w:val="211"/>
          <w:jc w:val="center"/>
        </w:trPr>
        <w:tc>
          <w:tcPr>
            <w:tcW w:w="1991" w:type="pct"/>
            <w:tcBorders>
              <w:top w:val="single" w:sz="6" w:space="0" w:color="auto"/>
              <w:left w:val="single" w:sz="6" w:space="0" w:color="auto"/>
              <w:bottom w:val="single" w:sz="6" w:space="0" w:color="auto"/>
              <w:right w:val="single" w:sz="6" w:space="0" w:color="auto"/>
            </w:tcBorders>
            <w:shd w:val="clear" w:color="auto" w:fill="auto"/>
          </w:tcPr>
          <w:p w14:paraId="5C1774BD" w14:textId="77777777" w:rsidR="00B04290" w:rsidRPr="007519E4" w:rsidRDefault="00B04290" w:rsidP="00E103D6">
            <w:pPr>
              <w:spacing w:before="20" w:after="20"/>
              <w:rPr>
                <w:rFonts w:asciiTheme="majorHAnsi" w:hAnsiTheme="majorHAnsi" w:cstheme="majorHAnsi"/>
                <w:b/>
                <w:sz w:val="18"/>
                <w:szCs w:val="18"/>
              </w:rPr>
            </w:pPr>
            <w:r w:rsidRPr="007519E4">
              <w:rPr>
                <w:rFonts w:asciiTheme="majorHAnsi" w:hAnsiTheme="majorHAnsi" w:cstheme="majorHAnsi"/>
                <w:b/>
                <w:sz w:val="18"/>
                <w:szCs w:val="18"/>
              </w:rPr>
              <w:t>Creator (individual)</w:t>
            </w:r>
          </w:p>
        </w:tc>
        <w:tc>
          <w:tcPr>
            <w:tcW w:w="3009" w:type="pct"/>
            <w:tcBorders>
              <w:top w:val="single" w:sz="6" w:space="0" w:color="auto"/>
              <w:left w:val="single" w:sz="6" w:space="0" w:color="auto"/>
              <w:bottom w:val="single" w:sz="6" w:space="0" w:color="auto"/>
              <w:right w:val="single" w:sz="6" w:space="0" w:color="auto"/>
            </w:tcBorders>
          </w:tcPr>
          <w:p w14:paraId="0AE66C60" w14:textId="77777777" w:rsidR="00B04290" w:rsidRPr="007519E4" w:rsidRDefault="00B04290" w:rsidP="00E103D6">
            <w:pPr>
              <w:pStyle w:val="FootnoteText"/>
              <w:spacing w:before="20" w:after="20"/>
              <w:rPr>
                <w:rFonts w:asciiTheme="majorHAnsi" w:hAnsiTheme="majorHAnsi" w:cstheme="majorHAnsi"/>
                <w:sz w:val="18"/>
                <w:szCs w:val="18"/>
              </w:rPr>
            </w:pPr>
            <w:r w:rsidRPr="007519E4">
              <w:rPr>
                <w:rFonts w:asciiTheme="majorHAnsi" w:hAnsiTheme="majorHAnsi" w:cstheme="majorHAnsi"/>
                <w:sz w:val="18"/>
                <w:szCs w:val="18"/>
              </w:rPr>
              <w:t xml:space="preserve"> Luc Vandamme</w:t>
            </w:r>
          </w:p>
        </w:tc>
      </w:tr>
      <w:tr w:rsidR="00B04290" w:rsidRPr="00B04290" w14:paraId="22787C77" w14:textId="77777777" w:rsidTr="00E103D6">
        <w:trPr>
          <w:trHeight w:val="211"/>
          <w:jc w:val="center"/>
        </w:trPr>
        <w:tc>
          <w:tcPr>
            <w:tcW w:w="1991" w:type="pct"/>
            <w:tcBorders>
              <w:top w:val="single" w:sz="6" w:space="0" w:color="auto"/>
              <w:left w:val="single" w:sz="6" w:space="0" w:color="auto"/>
              <w:bottom w:val="single" w:sz="6" w:space="0" w:color="auto"/>
              <w:right w:val="single" w:sz="6" w:space="0" w:color="auto"/>
            </w:tcBorders>
            <w:shd w:val="clear" w:color="auto" w:fill="auto"/>
          </w:tcPr>
          <w:p w14:paraId="3BEA20B3" w14:textId="77777777" w:rsidR="00B04290" w:rsidRPr="007519E4" w:rsidRDefault="00B04290" w:rsidP="00E103D6">
            <w:pPr>
              <w:spacing w:before="20" w:after="20"/>
              <w:rPr>
                <w:rFonts w:asciiTheme="majorHAnsi" w:hAnsiTheme="majorHAnsi" w:cstheme="majorHAnsi"/>
                <w:b/>
                <w:sz w:val="18"/>
                <w:szCs w:val="18"/>
              </w:rPr>
            </w:pPr>
            <w:r w:rsidRPr="007519E4">
              <w:rPr>
                <w:rFonts w:asciiTheme="majorHAnsi" w:hAnsiTheme="majorHAnsi" w:cstheme="majorHAnsi"/>
                <w:b/>
                <w:sz w:val="18"/>
                <w:szCs w:val="18"/>
              </w:rPr>
              <w:t>Subject (taxonomy)</w:t>
            </w:r>
          </w:p>
        </w:tc>
        <w:tc>
          <w:tcPr>
            <w:tcW w:w="3009" w:type="pct"/>
            <w:tcBorders>
              <w:top w:val="single" w:sz="6" w:space="0" w:color="auto"/>
              <w:left w:val="single" w:sz="6" w:space="0" w:color="auto"/>
              <w:bottom w:val="single" w:sz="6" w:space="0" w:color="auto"/>
              <w:right w:val="single" w:sz="6" w:space="0" w:color="auto"/>
            </w:tcBorders>
          </w:tcPr>
          <w:p w14:paraId="1FF55988" w14:textId="77777777" w:rsidR="00B04290" w:rsidRPr="007519E4" w:rsidRDefault="00B04290" w:rsidP="00E103D6">
            <w:pPr>
              <w:spacing w:before="20" w:after="20"/>
              <w:rPr>
                <w:rFonts w:asciiTheme="majorHAnsi" w:hAnsiTheme="majorHAnsi" w:cstheme="majorHAnsi"/>
                <w:sz w:val="18"/>
                <w:szCs w:val="18"/>
              </w:rPr>
            </w:pPr>
            <w:r w:rsidRPr="007519E4">
              <w:rPr>
                <w:rFonts w:asciiTheme="majorHAnsi" w:hAnsiTheme="majorHAnsi" w:cstheme="majorHAnsi"/>
                <w:sz w:val="18"/>
                <w:szCs w:val="18"/>
              </w:rPr>
              <w:t>Security</w:t>
            </w:r>
          </w:p>
        </w:tc>
      </w:tr>
      <w:tr w:rsidR="00B04290" w:rsidRPr="00B04290" w14:paraId="24738F4E" w14:textId="77777777" w:rsidTr="00E103D6">
        <w:trPr>
          <w:trHeight w:val="211"/>
          <w:jc w:val="center"/>
        </w:trPr>
        <w:tc>
          <w:tcPr>
            <w:tcW w:w="1991" w:type="pct"/>
            <w:tcBorders>
              <w:top w:val="single" w:sz="6" w:space="0" w:color="auto"/>
              <w:left w:val="single" w:sz="6" w:space="0" w:color="auto"/>
              <w:bottom w:val="single" w:sz="6" w:space="0" w:color="auto"/>
              <w:right w:val="single" w:sz="6" w:space="0" w:color="auto"/>
            </w:tcBorders>
            <w:shd w:val="clear" w:color="auto" w:fill="auto"/>
          </w:tcPr>
          <w:p w14:paraId="034BB4B4" w14:textId="77777777" w:rsidR="00B04290" w:rsidRPr="007519E4" w:rsidRDefault="00B04290" w:rsidP="00E103D6">
            <w:pPr>
              <w:spacing w:before="20" w:after="20"/>
              <w:rPr>
                <w:rFonts w:asciiTheme="majorHAnsi" w:hAnsiTheme="majorHAnsi" w:cstheme="majorHAnsi"/>
                <w:b/>
                <w:sz w:val="18"/>
                <w:szCs w:val="18"/>
              </w:rPr>
            </w:pPr>
            <w:r w:rsidRPr="007519E4">
              <w:rPr>
                <w:rFonts w:asciiTheme="majorHAnsi" w:hAnsiTheme="majorHAnsi" w:cstheme="majorHAnsi"/>
                <w:b/>
                <w:sz w:val="18"/>
                <w:szCs w:val="18"/>
              </w:rPr>
              <w:t>Date created</w:t>
            </w:r>
          </w:p>
        </w:tc>
        <w:tc>
          <w:tcPr>
            <w:tcW w:w="3009" w:type="pct"/>
            <w:tcBorders>
              <w:top w:val="single" w:sz="6" w:space="0" w:color="auto"/>
              <w:left w:val="single" w:sz="6" w:space="0" w:color="auto"/>
              <w:bottom w:val="single" w:sz="6" w:space="0" w:color="auto"/>
              <w:right w:val="single" w:sz="6" w:space="0" w:color="auto"/>
            </w:tcBorders>
          </w:tcPr>
          <w:p w14:paraId="0A601E35" w14:textId="716D63EC" w:rsidR="00B04290" w:rsidRPr="007519E4" w:rsidRDefault="00F72A19" w:rsidP="00E103D6">
            <w:pPr>
              <w:spacing w:before="20" w:after="20"/>
              <w:rPr>
                <w:rFonts w:asciiTheme="majorHAnsi" w:hAnsiTheme="majorHAnsi" w:cstheme="majorHAnsi"/>
                <w:sz w:val="18"/>
                <w:szCs w:val="18"/>
              </w:rPr>
            </w:pPr>
            <w:r>
              <w:rPr>
                <w:rFonts w:asciiTheme="majorHAnsi" w:hAnsiTheme="majorHAnsi" w:cstheme="majorHAnsi"/>
                <w:sz w:val="18"/>
                <w:szCs w:val="18"/>
              </w:rPr>
              <w:t>18</w:t>
            </w:r>
            <w:r w:rsidR="00B04290" w:rsidRPr="007519E4">
              <w:rPr>
                <w:rFonts w:asciiTheme="majorHAnsi" w:hAnsiTheme="majorHAnsi" w:cstheme="majorHAnsi"/>
                <w:sz w:val="18"/>
                <w:szCs w:val="18"/>
              </w:rPr>
              <w:t xml:space="preserve"> </w:t>
            </w:r>
            <w:r>
              <w:rPr>
                <w:rFonts w:asciiTheme="majorHAnsi" w:hAnsiTheme="majorHAnsi" w:cstheme="majorHAnsi"/>
                <w:sz w:val="18"/>
                <w:szCs w:val="18"/>
              </w:rPr>
              <w:t>August</w:t>
            </w:r>
            <w:r w:rsidR="00B04290" w:rsidRPr="007519E4">
              <w:rPr>
                <w:rFonts w:asciiTheme="majorHAnsi" w:hAnsiTheme="majorHAnsi" w:cstheme="majorHAnsi"/>
                <w:sz w:val="18"/>
                <w:szCs w:val="18"/>
              </w:rPr>
              <w:t xml:space="preserve"> 2020</w:t>
            </w:r>
          </w:p>
        </w:tc>
      </w:tr>
      <w:tr w:rsidR="00B04290" w:rsidRPr="00B04290" w14:paraId="66C9B0CD" w14:textId="77777777" w:rsidTr="00E103D6">
        <w:trPr>
          <w:trHeight w:val="211"/>
          <w:jc w:val="center"/>
        </w:trPr>
        <w:tc>
          <w:tcPr>
            <w:tcW w:w="1991" w:type="pct"/>
            <w:tcBorders>
              <w:top w:val="single" w:sz="6" w:space="0" w:color="auto"/>
              <w:left w:val="single" w:sz="6" w:space="0" w:color="auto"/>
              <w:bottom w:val="single" w:sz="6" w:space="0" w:color="auto"/>
              <w:right w:val="single" w:sz="6" w:space="0" w:color="auto"/>
            </w:tcBorders>
            <w:shd w:val="clear" w:color="auto" w:fill="auto"/>
          </w:tcPr>
          <w:p w14:paraId="004D68B7" w14:textId="77777777" w:rsidR="00B04290" w:rsidRPr="007519E4" w:rsidRDefault="00B04290" w:rsidP="00E103D6">
            <w:pPr>
              <w:spacing w:before="20" w:after="20"/>
              <w:rPr>
                <w:rFonts w:asciiTheme="majorHAnsi" w:hAnsiTheme="majorHAnsi" w:cstheme="majorHAnsi"/>
                <w:b/>
                <w:sz w:val="18"/>
                <w:szCs w:val="18"/>
              </w:rPr>
            </w:pPr>
            <w:r w:rsidRPr="007519E4">
              <w:rPr>
                <w:rFonts w:asciiTheme="majorHAnsi" w:hAnsiTheme="majorHAnsi" w:cstheme="majorHAnsi"/>
                <w:b/>
                <w:sz w:val="18"/>
                <w:szCs w:val="18"/>
              </w:rPr>
              <w:t xml:space="preserve">Mandatory Review </w:t>
            </w:r>
          </w:p>
        </w:tc>
        <w:tc>
          <w:tcPr>
            <w:tcW w:w="3009" w:type="pct"/>
            <w:tcBorders>
              <w:top w:val="single" w:sz="6" w:space="0" w:color="auto"/>
              <w:left w:val="single" w:sz="6" w:space="0" w:color="auto"/>
              <w:bottom w:val="single" w:sz="6" w:space="0" w:color="auto"/>
              <w:right w:val="single" w:sz="6" w:space="0" w:color="auto"/>
            </w:tcBorders>
          </w:tcPr>
          <w:p w14:paraId="34B6E05A" w14:textId="190E6DCA" w:rsidR="00B04290" w:rsidRPr="007519E4" w:rsidRDefault="00F72A19" w:rsidP="00E103D6">
            <w:pPr>
              <w:spacing w:before="20" w:after="20"/>
              <w:rPr>
                <w:rFonts w:asciiTheme="majorHAnsi" w:hAnsiTheme="majorHAnsi" w:cstheme="majorHAnsi"/>
                <w:sz w:val="18"/>
                <w:szCs w:val="18"/>
              </w:rPr>
            </w:pPr>
            <w:r>
              <w:rPr>
                <w:rFonts w:asciiTheme="majorHAnsi" w:hAnsiTheme="majorHAnsi" w:cstheme="majorHAnsi"/>
                <w:sz w:val="18"/>
                <w:szCs w:val="18"/>
              </w:rPr>
              <w:t>18</w:t>
            </w:r>
            <w:r w:rsidR="00B04290" w:rsidRPr="007519E4">
              <w:rPr>
                <w:rFonts w:asciiTheme="majorHAnsi" w:hAnsiTheme="majorHAnsi" w:cstheme="majorHAnsi"/>
                <w:sz w:val="18"/>
                <w:szCs w:val="18"/>
              </w:rPr>
              <w:t xml:space="preserve"> </w:t>
            </w:r>
            <w:r>
              <w:rPr>
                <w:rFonts w:asciiTheme="majorHAnsi" w:hAnsiTheme="majorHAnsi" w:cstheme="majorHAnsi"/>
                <w:sz w:val="18"/>
                <w:szCs w:val="18"/>
              </w:rPr>
              <w:t>August</w:t>
            </w:r>
            <w:r w:rsidR="00B04290" w:rsidRPr="007519E4">
              <w:rPr>
                <w:rFonts w:asciiTheme="majorHAnsi" w:hAnsiTheme="majorHAnsi" w:cstheme="majorHAnsi"/>
                <w:sz w:val="18"/>
                <w:szCs w:val="18"/>
              </w:rPr>
              <w:t xml:space="preserve"> 2021</w:t>
            </w:r>
          </w:p>
        </w:tc>
      </w:tr>
      <w:tr w:rsidR="00B04290" w:rsidRPr="00B04290" w14:paraId="4623D7D6" w14:textId="77777777" w:rsidTr="00E103D6">
        <w:trPr>
          <w:trHeight w:val="211"/>
          <w:jc w:val="center"/>
        </w:trPr>
        <w:tc>
          <w:tcPr>
            <w:tcW w:w="1991" w:type="pct"/>
            <w:tcBorders>
              <w:top w:val="single" w:sz="6" w:space="0" w:color="auto"/>
              <w:left w:val="single" w:sz="6" w:space="0" w:color="auto"/>
              <w:bottom w:val="single" w:sz="6" w:space="0" w:color="auto"/>
              <w:right w:val="single" w:sz="6" w:space="0" w:color="auto"/>
            </w:tcBorders>
            <w:shd w:val="clear" w:color="auto" w:fill="auto"/>
          </w:tcPr>
          <w:p w14:paraId="62909FB8" w14:textId="77777777" w:rsidR="00B04290" w:rsidRPr="007519E4" w:rsidRDefault="00B04290" w:rsidP="00E103D6">
            <w:pPr>
              <w:spacing w:before="20" w:after="20"/>
              <w:rPr>
                <w:rFonts w:asciiTheme="majorHAnsi" w:hAnsiTheme="majorHAnsi" w:cstheme="majorHAnsi"/>
                <w:b/>
                <w:sz w:val="18"/>
                <w:szCs w:val="18"/>
              </w:rPr>
            </w:pPr>
            <w:r w:rsidRPr="007519E4">
              <w:rPr>
                <w:rFonts w:asciiTheme="majorHAnsi" w:hAnsiTheme="majorHAnsi" w:cstheme="majorHAnsi"/>
                <w:b/>
                <w:sz w:val="18"/>
                <w:szCs w:val="18"/>
              </w:rPr>
              <w:t xml:space="preserve">Expiry Date </w:t>
            </w:r>
          </w:p>
        </w:tc>
        <w:tc>
          <w:tcPr>
            <w:tcW w:w="3009" w:type="pct"/>
            <w:tcBorders>
              <w:top w:val="single" w:sz="6" w:space="0" w:color="auto"/>
              <w:left w:val="single" w:sz="6" w:space="0" w:color="auto"/>
              <w:bottom w:val="single" w:sz="6" w:space="0" w:color="auto"/>
              <w:right w:val="single" w:sz="6" w:space="0" w:color="auto"/>
            </w:tcBorders>
          </w:tcPr>
          <w:p w14:paraId="614C45EF" w14:textId="77777777" w:rsidR="00B04290" w:rsidRPr="007519E4" w:rsidRDefault="00B04290" w:rsidP="00E103D6">
            <w:pPr>
              <w:spacing w:before="20" w:after="20"/>
              <w:rPr>
                <w:rFonts w:asciiTheme="majorHAnsi" w:hAnsiTheme="majorHAnsi" w:cstheme="majorHAnsi"/>
                <w:sz w:val="18"/>
                <w:szCs w:val="18"/>
              </w:rPr>
            </w:pPr>
            <w:r w:rsidRPr="007519E4">
              <w:rPr>
                <w:rFonts w:asciiTheme="majorHAnsi" w:hAnsiTheme="majorHAnsi" w:cstheme="majorHAnsi"/>
                <w:sz w:val="18"/>
                <w:szCs w:val="18"/>
              </w:rPr>
              <w:t>Not applicable</w:t>
            </w:r>
          </w:p>
        </w:tc>
      </w:tr>
      <w:tr w:rsidR="00B04290" w:rsidRPr="00B04290" w14:paraId="1CB0822A" w14:textId="77777777" w:rsidTr="00E103D6">
        <w:trPr>
          <w:trHeight w:val="211"/>
          <w:jc w:val="center"/>
        </w:trPr>
        <w:tc>
          <w:tcPr>
            <w:tcW w:w="1991" w:type="pct"/>
            <w:tcBorders>
              <w:top w:val="single" w:sz="6" w:space="0" w:color="auto"/>
              <w:left w:val="single" w:sz="6" w:space="0" w:color="auto"/>
              <w:bottom w:val="single" w:sz="6" w:space="0" w:color="auto"/>
              <w:right w:val="single" w:sz="6" w:space="0" w:color="auto"/>
            </w:tcBorders>
            <w:shd w:val="clear" w:color="auto" w:fill="auto"/>
          </w:tcPr>
          <w:p w14:paraId="681C09CD" w14:textId="77777777" w:rsidR="00B04290" w:rsidRPr="007519E4" w:rsidRDefault="00B04290" w:rsidP="00E103D6">
            <w:pPr>
              <w:spacing w:before="20" w:after="20"/>
              <w:rPr>
                <w:rFonts w:asciiTheme="majorHAnsi" w:hAnsiTheme="majorHAnsi" w:cstheme="majorHAnsi"/>
                <w:b/>
                <w:sz w:val="18"/>
                <w:szCs w:val="18"/>
              </w:rPr>
            </w:pPr>
            <w:r w:rsidRPr="007519E4">
              <w:rPr>
                <w:rFonts w:asciiTheme="majorHAnsi" w:hAnsiTheme="majorHAnsi" w:cstheme="majorHAnsi"/>
                <w:b/>
                <w:sz w:val="18"/>
                <w:szCs w:val="18"/>
              </w:rPr>
              <w:t>Audience</w:t>
            </w:r>
          </w:p>
        </w:tc>
        <w:tc>
          <w:tcPr>
            <w:tcW w:w="3009" w:type="pct"/>
            <w:tcBorders>
              <w:top w:val="single" w:sz="6" w:space="0" w:color="auto"/>
              <w:left w:val="single" w:sz="6" w:space="0" w:color="auto"/>
              <w:bottom w:val="single" w:sz="6" w:space="0" w:color="auto"/>
              <w:right w:val="single" w:sz="6" w:space="0" w:color="auto"/>
            </w:tcBorders>
          </w:tcPr>
          <w:p w14:paraId="16B0EE3E" w14:textId="77777777" w:rsidR="00B04290" w:rsidRPr="007519E4" w:rsidRDefault="00B04290" w:rsidP="00E103D6">
            <w:pPr>
              <w:spacing w:before="20" w:after="20"/>
              <w:rPr>
                <w:rFonts w:asciiTheme="majorHAnsi" w:hAnsiTheme="majorHAnsi" w:cstheme="majorHAnsi"/>
                <w:sz w:val="18"/>
                <w:szCs w:val="18"/>
              </w:rPr>
            </w:pPr>
            <w:r w:rsidRPr="007519E4">
              <w:rPr>
                <w:rFonts w:asciiTheme="majorHAnsi" w:hAnsiTheme="majorHAnsi" w:cstheme="majorHAnsi"/>
                <w:sz w:val="18"/>
                <w:szCs w:val="18"/>
              </w:rPr>
              <w:t xml:space="preserve">UNDP Regional Bureau management, UNDP Country Office management and CO Security Focal Points (SFP) </w:t>
            </w:r>
          </w:p>
        </w:tc>
      </w:tr>
      <w:tr w:rsidR="00B04290" w:rsidRPr="00B04290" w14:paraId="4B96B5EC" w14:textId="77777777" w:rsidTr="00E103D6">
        <w:trPr>
          <w:trHeight w:val="211"/>
          <w:jc w:val="center"/>
        </w:trPr>
        <w:tc>
          <w:tcPr>
            <w:tcW w:w="1991" w:type="pct"/>
            <w:tcBorders>
              <w:top w:val="single" w:sz="6" w:space="0" w:color="auto"/>
              <w:left w:val="single" w:sz="6" w:space="0" w:color="auto"/>
              <w:bottom w:val="single" w:sz="6" w:space="0" w:color="auto"/>
              <w:right w:val="single" w:sz="6" w:space="0" w:color="auto"/>
            </w:tcBorders>
            <w:shd w:val="clear" w:color="auto" w:fill="auto"/>
          </w:tcPr>
          <w:p w14:paraId="3A7E3D3B" w14:textId="77777777" w:rsidR="00B04290" w:rsidRPr="007519E4" w:rsidRDefault="00B04290" w:rsidP="00E103D6">
            <w:pPr>
              <w:spacing w:before="20" w:after="20"/>
              <w:rPr>
                <w:rFonts w:asciiTheme="majorHAnsi" w:hAnsiTheme="majorHAnsi" w:cstheme="majorHAnsi"/>
                <w:b/>
                <w:sz w:val="18"/>
                <w:szCs w:val="18"/>
              </w:rPr>
            </w:pPr>
            <w:r w:rsidRPr="007519E4">
              <w:rPr>
                <w:rFonts w:asciiTheme="majorHAnsi" w:hAnsiTheme="majorHAnsi" w:cstheme="majorHAnsi"/>
                <w:b/>
                <w:sz w:val="18"/>
                <w:szCs w:val="18"/>
              </w:rPr>
              <w:t>Applicability</w:t>
            </w:r>
          </w:p>
        </w:tc>
        <w:tc>
          <w:tcPr>
            <w:tcW w:w="3009" w:type="pct"/>
            <w:tcBorders>
              <w:top w:val="single" w:sz="6" w:space="0" w:color="auto"/>
              <w:left w:val="single" w:sz="6" w:space="0" w:color="auto"/>
              <w:bottom w:val="single" w:sz="6" w:space="0" w:color="auto"/>
              <w:right w:val="single" w:sz="6" w:space="0" w:color="auto"/>
            </w:tcBorders>
          </w:tcPr>
          <w:p w14:paraId="17FFCE36" w14:textId="77777777" w:rsidR="00B04290" w:rsidRPr="007519E4" w:rsidRDefault="00B04290" w:rsidP="00E103D6">
            <w:pPr>
              <w:spacing w:before="20" w:after="20" w:line="259" w:lineRule="auto"/>
              <w:rPr>
                <w:rFonts w:asciiTheme="majorHAnsi" w:hAnsiTheme="majorHAnsi" w:cstheme="majorHAnsi"/>
                <w:sz w:val="18"/>
                <w:szCs w:val="18"/>
              </w:rPr>
            </w:pPr>
            <w:r w:rsidRPr="007519E4">
              <w:rPr>
                <w:rFonts w:asciiTheme="majorHAnsi" w:hAnsiTheme="majorHAnsi" w:cstheme="majorHAnsi"/>
                <w:sz w:val="18"/>
                <w:szCs w:val="18"/>
              </w:rPr>
              <w:t xml:space="preserve">All UNDP Personnel </w:t>
            </w:r>
          </w:p>
        </w:tc>
      </w:tr>
      <w:tr w:rsidR="00B04290" w:rsidRPr="00B04290" w14:paraId="79A03982" w14:textId="77777777" w:rsidTr="00E103D6">
        <w:trPr>
          <w:trHeight w:val="211"/>
          <w:jc w:val="center"/>
        </w:trPr>
        <w:tc>
          <w:tcPr>
            <w:tcW w:w="1991" w:type="pct"/>
            <w:tcBorders>
              <w:top w:val="single" w:sz="6" w:space="0" w:color="auto"/>
              <w:left w:val="single" w:sz="6" w:space="0" w:color="auto"/>
              <w:bottom w:val="single" w:sz="6" w:space="0" w:color="auto"/>
              <w:right w:val="single" w:sz="6" w:space="0" w:color="auto"/>
            </w:tcBorders>
            <w:shd w:val="clear" w:color="auto" w:fill="auto"/>
          </w:tcPr>
          <w:p w14:paraId="6FCE036F" w14:textId="77777777" w:rsidR="00B04290" w:rsidRPr="007519E4" w:rsidRDefault="00B04290" w:rsidP="00E103D6">
            <w:pPr>
              <w:spacing w:before="20" w:after="20"/>
              <w:rPr>
                <w:rFonts w:asciiTheme="majorHAnsi" w:hAnsiTheme="majorHAnsi" w:cstheme="majorHAnsi"/>
                <w:b/>
                <w:sz w:val="18"/>
                <w:szCs w:val="18"/>
              </w:rPr>
            </w:pPr>
            <w:r w:rsidRPr="007519E4">
              <w:rPr>
                <w:rFonts w:asciiTheme="majorHAnsi" w:hAnsiTheme="majorHAnsi" w:cstheme="majorHAnsi"/>
                <w:b/>
                <w:sz w:val="18"/>
                <w:szCs w:val="18"/>
              </w:rPr>
              <w:t>Replaces</w:t>
            </w:r>
          </w:p>
        </w:tc>
        <w:tc>
          <w:tcPr>
            <w:tcW w:w="3009" w:type="pct"/>
            <w:tcBorders>
              <w:top w:val="single" w:sz="6" w:space="0" w:color="auto"/>
              <w:left w:val="single" w:sz="6" w:space="0" w:color="auto"/>
              <w:bottom w:val="single" w:sz="6" w:space="0" w:color="auto"/>
              <w:right w:val="single" w:sz="6" w:space="0" w:color="auto"/>
            </w:tcBorders>
          </w:tcPr>
          <w:p w14:paraId="4D66BE52" w14:textId="77777777" w:rsidR="00B04290" w:rsidRPr="007519E4" w:rsidRDefault="00B04290" w:rsidP="00E103D6">
            <w:pPr>
              <w:spacing w:before="20" w:after="20"/>
              <w:rPr>
                <w:rFonts w:asciiTheme="majorHAnsi" w:hAnsiTheme="majorHAnsi" w:cstheme="majorHAnsi"/>
                <w:bCs/>
                <w:sz w:val="18"/>
                <w:szCs w:val="18"/>
              </w:rPr>
            </w:pPr>
            <w:r w:rsidRPr="007519E4">
              <w:rPr>
                <w:rFonts w:asciiTheme="majorHAnsi" w:hAnsiTheme="majorHAnsi" w:cstheme="majorHAnsi"/>
                <w:bCs/>
                <w:sz w:val="18"/>
                <w:szCs w:val="18"/>
              </w:rPr>
              <w:t>Not Applicable</w:t>
            </w:r>
          </w:p>
        </w:tc>
      </w:tr>
      <w:tr w:rsidR="00B04290" w:rsidRPr="00B04290" w14:paraId="6DBEFE78" w14:textId="77777777" w:rsidTr="00E103D6">
        <w:trPr>
          <w:trHeight w:val="211"/>
          <w:jc w:val="center"/>
        </w:trPr>
        <w:tc>
          <w:tcPr>
            <w:tcW w:w="1991" w:type="pct"/>
            <w:tcBorders>
              <w:top w:val="single" w:sz="6" w:space="0" w:color="auto"/>
              <w:left w:val="single" w:sz="6" w:space="0" w:color="auto"/>
              <w:bottom w:val="single" w:sz="6" w:space="0" w:color="auto"/>
              <w:right w:val="single" w:sz="6" w:space="0" w:color="auto"/>
            </w:tcBorders>
            <w:shd w:val="clear" w:color="auto" w:fill="auto"/>
          </w:tcPr>
          <w:p w14:paraId="12CB3BBF" w14:textId="77777777" w:rsidR="00B04290" w:rsidRPr="007519E4" w:rsidRDefault="00B04290" w:rsidP="00E103D6">
            <w:pPr>
              <w:spacing w:before="20" w:after="20"/>
              <w:rPr>
                <w:rFonts w:asciiTheme="majorHAnsi" w:hAnsiTheme="majorHAnsi" w:cstheme="majorHAnsi"/>
                <w:b/>
                <w:sz w:val="18"/>
                <w:szCs w:val="18"/>
              </w:rPr>
            </w:pPr>
            <w:r w:rsidRPr="007519E4">
              <w:rPr>
                <w:rFonts w:asciiTheme="majorHAnsi" w:hAnsiTheme="majorHAnsi" w:cstheme="majorHAnsi"/>
                <w:b/>
                <w:sz w:val="18"/>
                <w:szCs w:val="18"/>
              </w:rPr>
              <w:t>Is part of</w:t>
            </w:r>
          </w:p>
        </w:tc>
        <w:tc>
          <w:tcPr>
            <w:tcW w:w="3009" w:type="pct"/>
            <w:tcBorders>
              <w:top w:val="single" w:sz="6" w:space="0" w:color="auto"/>
              <w:left w:val="single" w:sz="6" w:space="0" w:color="auto"/>
              <w:bottom w:val="single" w:sz="6" w:space="0" w:color="auto"/>
              <w:right w:val="single" w:sz="6" w:space="0" w:color="auto"/>
            </w:tcBorders>
          </w:tcPr>
          <w:p w14:paraId="19BFCA42" w14:textId="77777777" w:rsidR="00B04290" w:rsidRPr="007519E4" w:rsidRDefault="00B04290" w:rsidP="00E103D6">
            <w:pPr>
              <w:spacing w:before="20" w:after="20"/>
              <w:rPr>
                <w:rFonts w:asciiTheme="majorHAnsi" w:hAnsiTheme="majorHAnsi" w:cstheme="majorHAnsi"/>
                <w:sz w:val="18"/>
                <w:szCs w:val="18"/>
              </w:rPr>
            </w:pPr>
            <w:r w:rsidRPr="007519E4">
              <w:rPr>
                <w:rFonts w:asciiTheme="majorHAnsi" w:hAnsiTheme="majorHAnsi" w:cstheme="majorHAnsi"/>
                <w:sz w:val="18"/>
                <w:szCs w:val="18"/>
              </w:rPr>
              <w:t>Not applicable</w:t>
            </w:r>
          </w:p>
        </w:tc>
      </w:tr>
      <w:tr w:rsidR="00B04290" w:rsidRPr="00B04290" w14:paraId="15629853" w14:textId="77777777" w:rsidTr="00E103D6">
        <w:trPr>
          <w:trHeight w:val="211"/>
          <w:jc w:val="center"/>
        </w:trPr>
        <w:tc>
          <w:tcPr>
            <w:tcW w:w="1991" w:type="pct"/>
            <w:tcBorders>
              <w:top w:val="single" w:sz="6" w:space="0" w:color="auto"/>
              <w:left w:val="single" w:sz="6" w:space="0" w:color="auto"/>
              <w:bottom w:val="single" w:sz="6" w:space="0" w:color="auto"/>
              <w:right w:val="single" w:sz="6" w:space="0" w:color="auto"/>
            </w:tcBorders>
            <w:shd w:val="clear" w:color="auto" w:fill="auto"/>
          </w:tcPr>
          <w:p w14:paraId="53354026" w14:textId="77777777" w:rsidR="00B04290" w:rsidRPr="007519E4" w:rsidRDefault="00B04290" w:rsidP="00E103D6">
            <w:pPr>
              <w:spacing w:before="20" w:after="20"/>
              <w:rPr>
                <w:rFonts w:asciiTheme="majorHAnsi" w:hAnsiTheme="majorHAnsi" w:cstheme="majorHAnsi"/>
                <w:b/>
                <w:sz w:val="18"/>
                <w:szCs w:val="18"/>
              </w:rPr>
            </w:pPr>
            <w:r w:rsidRPr="007519E4">
              <w:rPr>
                <w:rFonts w:asciiTheme="majorHAnsi" w:hAnsiTheme="majorHAnsi" w:cstheme="majorHAnsi"/>
                <w:b/>
                <w:sz w:val="18"/>
                <w:szCs w:val="18"/>
              </w:rPr>
              <w:t>Related documents</w:t>
            </w:r>
          </w:p>
        </w:tc>
        <w:tc>
          <w:tcPr>
            <w:tcW w:w="3009" w:type="pct"/>
            <w:tcBorders>
              <w:top w:val="single" w:sz="6" w:space="0" w:color="auto"/>
              <w:left w:val="single" w:sz="6" w:space="0" w:color="auto"/>
              <w:bottom w:val="single" w:sz="6" w:space="0" w:color="auto"/>
              <w:right w:val="single" w:sz="6" w:space="0" w:color="auto"/>
            </w:tcBorders>
          </w:tcPr>
          <w:p w14:paraId="3CEAC3B4" w14:textId="77777777" w:rsidR="00B04290" w:rsidRPr="007519E4" w:rsidRDefault="00B04290" w:rsidP="00E103D6">
            <w:pPr>
              <w:spacing w:before="20" w:after="20"/>
              <w:rPr>
                <w:rFonts w:asciiTheme="majorHAnsi" w:hAnsiTheme="majorHAnsi" w:cstheme="majorHAnsi"/>
                <w:sz w:val="18"/>
                <w:szCs w:val="18"/>
              </w:rPr>
            </w:pPr>
            <w:r w:rsidRPr="007519E4">
              <w:rPr>
                <w:rFonts w:asciiTheme="majorHAnsi" w:hAnsiTheme="majorHAnsi" w:cstheme="majorHAnsi"/>
                <w:sz w:val="18"/>
                <w:szCs w:val="18"/>
              </w:rPr>
              <w:t>See related policies</w:t>
            </w:r>
          </w:p>
        </w:tc>
      </w:tr>
      <w:tr w:rsidR="00B04290" w:rsidRPr="00B04290" w14:paraId="547AC64B" w14:textId="77777777" w:rsidTr="00E103D6">
        <w:trPr>
          <w:trHeight w:val="222"/>
          <w:jc w:val="center"/>
        </w:trPr>
        <w:tc>
          <w:tcPr>
            <w:tcW w:w="1991" w:type="pct"/>
            <w:tcBorders>
              <w:top w:val="single" w:sz="6" w:space="0" w:color="auto"/>
              <w:left w:val="single" w:sz="6" w:space="0" w:color="auto"/>
              <w:bottom w:val="single" w:sz="6" w:space="0" w:color="auto"/>
              <w:right w:val="single" w:sz="6" w:space="0" w:color="auto"/>
            </w:tcBorders>
            <w:shd w:val="clear" w:color="auto" w:fill="auto"/>
          </w:tcPr>
          <w:p w14:paraId="027A6A05" w14:textId="77777777" w:rsidR="00B04290" w:rsidRPr="00B04290" w:rsidRDefault="00B04290" w:rsidP="00E103D6">
            <w:pPr>
              <w:spacing w:before="20" w:after="20"/>
              <w:rPr>
                <w:rFonts w:asciiTheme="majorHAnsi" w:hAnsiTheme="majorHAnsi" w:cstheme="majorHAnsi"/>
                <w:b/>
                <w:sz w:val="18"/>
                <w:szCs w:val="18"/>
              </w:rPr>
            </w:pPr>
            <w:r w:rsidRPr="00B04290">
              <w:rPr>
                <w:rFonts w:asciiTheme="majorHAnsi" w:hAnsiTheme="majorHAnsi" w:cstheme="majorHAnsi"/>
                <w:b/>
                <w:sz w:val="18"/>
                <w:szCs w:val="18"/>
              </w:rPr>
              <w:t>UN Record Ref.</w:t>
            </w:r>
          </w:p>
        </w:tc>
        <w:tc>
          <w:tcPr>
            <w:tcW w:w="3009" w:type="pct"/>
            <w:tcBorders>
              <w:top w:val="single" w:sz="6" w:space="0" w:color="auto"/>
              <w:left w:val="single" w:sz="6" w:space="0" w:color="auto"/>
              <w:bottom w:val="single" w:sz="6" w:space="0" w:color="auto"/>
              <w:right w:val="single" w:sz="6" w:space="0" w:color="auto"/>
            </w:tcBorders>
          </w:tcPr>
          <w:p w14:paraId="2D41E855" w14:textId="77777777" w:rsidR="00B04290" w:rsidRPr="00B04290" w:rsidRDefault="00B04290" w:rsidP="00E103D6">
            <w:pPr>
              <w:spacing w:before="20" w:after="20"/>
              <w:rPr>
                <w:rFonts w:asciiTheme="majorHAnsi" w:hAnsiTheme="majorHAnsi" w:cstheme="majorHAnsi"/>
                <w:sz w:val="18"/>
                <w:szCs w:val="18"/>
              </w:rPr>
            </w:pPr>
          </w:p>
        </w:tc>
      </w:tr>
    </w:tbl>
    <w:p w14:paraId="05160BAF" w14:textId="77777777" w:rsidR="00B04290" w:rsidRPr="00B04290" w:rsidRDefault="00B04290" w:rsidP="00B04290">
      <w:pPr>
        <w:rPr>
          <w:rFonts w:asciiTheme="majorHAnsi" w:hAnsiTheme="majorHAnsi" w:cstheme="majorHAnsi"/>
          <w:sz w:val="18"/>
          <w:szCs w:val="18"/>
        </w:rPr>
      </w:pPr>
      <w:r w:rsidRPr="00B04290">
        <w:rPr>
          <w:rFonts w:asciiTheme="majorHAnsi" w:hAnsiTheme="majorHAnsi" w:cstheme="majorHAnsi"/>
          <w:sz w:val="18"/>
          <w:szCs w:val="18"/>
        </w:rPr>
        <w:t> </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7"/>
        <w:gridCol w:w="1980"/>
        <w:gridCol w:w="2340"/>
        <w:gridCol w:w="3024"/>
      </w:tblGrid>
      <w:tr w:rsidR="00B04290" w:rsidRPr="00B04290" w14:paraId="2C95D237" w14:textId="77777777" w:rsidTr="00E103D6">
        <w:trPr>
          <w:trHeight w:val="294"/>
          <w:jc w:val="center"/>
        </w:trPr>
        <w:tc>
          <w:tcPr>
            <w:tcW w:w="1987" w:type="dxa"/>
            <w:tcBorders>
              <w:top w:val="single" w:sz="4" w:space="0" w:color="auto"/>
              <w:left w:val="single" w:sz="4" w:space="0" w:color="auto"/>
              <w:bottom w:val="single" w:sz="4" w:space="0" w:color="auto"/>
              <w:right w:val="single" w:sz="4" w:space="0" w:color="auto"/>
            </w:tcBorders>
          </w:tcPr>
          <w:p w14:paraId="39CAE349" w14:textId="77777777" w:rsidR="00B04290" w:rsidRPr="00B04290" w:rsidRDefault="00B04290" w:rsidP="00E103D6">
            <w:pPr>
              <w:jc w:val="center"/>
              <w:rPr>
                <w:rFonts w:asciiTheme="majorHAnsi" w:hAnsiTheme="majorHAnsi" w:cstheme="majorHAnsi"/>
                <w:sz w:val="18"/>
                <w:szCs w:val="18"/>
              </w:rPr>
            </w:pPr>
            <w:r w:rsidRPr="00B04290">
              <w:rPr>
                <w:rFonts w:asciiTheme="majorHAnsi" w:hAnsiTheme="majorHAnsi" w:cstheme="majorHAnsi"/>
                <w:b/>
                <w:sz w:val="18"/>
                <w:szCs w:val="18"/>
              </w:rPr>
              <w:t>Version</w:t>
            </w:r>
          </w:p>
        </w:tc>
        <w:tc>
          <w:tcPr>
            <w:tcW w:w="1980" w:type="dxa"/>
            <w:tcBorders>
              <w:top w:val="single" w:sz="4" w:space="0" w:color="auto"/>
              <w:left w:val="single" w:sz="4" w:space="0" w:color="auto"/>
              <w:bottom w:val="single" w:sz="4" w:space="0" w:color="auto"/>
              <w:right w:val="single" w:sz="4" w:space="0" w:color="auto"/>
            </w:tcBorders>
          </w:tcPr>
          <w:p w14:paraId="377E2F87" w14:textId="77777777" w:rsidR="00B04290" w:rsidRPr="00B04290" w:rsidRDefault="00B04290" w:rsidP="00E103D6">
            <w:pPr>
              <w:jc w:val="center"/>
              <w:rPr>
                <w:rFonts w:asciiTheme="majorHAnsi" w:hAnsiTheme="majorHAnsi" w:cstheme="majorHAnsi"/>
                <w:sz w:val="18"/>
                <w:szCs w:val="18"/>
              </w:rPr>
            </w:pPr>
            <w:r w:rsidRPr="00B04290">
              <w:rPr>
                <w:rFonts w:asciiTheme="majorHAnsi" w:hAnsiTheme="majorHAnsi" w:cstheme="majorHAnsi"/>
                <w:b/>
                <w:sz w:val="18"/>
                <w:szCs w:val="18"/>
              </w:rPr>
              <w:t>Date</w:t>
            </w:r>
          </w:p>
        </w:tc>
        <w:tc>
          <w:tcPr>
            <w:tcW w:w="2340" w:type="dxa"/>
            <w:tcBorders>
              <w:top w:val="single" w:sz="4" w:space="0" w:color="auto"/>
              <w:left w:val="single" w:sz="4" w:space="0" w:color="auto"/>
              <w:bottom w:val="single" w:sz="4" w:space="0" w:color="auto"/>
              <w:right w:val="single" w:sz="4" w:space="0" w:color="auto"/>
            </w:tcBorders>
          </w:tcPr>
          <w:p w14:paraId="7EF216DF" w14:textId="77777777" w:rsidR="00B04290" w:rsidRPr="00B04290" w:rsidRDefault="00B04290" w:rsidP="00E103D6">
            <w:pPr>
              <w:jc w:val="center"/>
              <w:rPr>
                <w:rFonts w:asciiTheme="majorHAnsi" w:hAnsiTheme="majorHAnsi" w:cstheme="majorHAnsi"/>
                <w:sz w:val="18"/>
                <w:szCs w:val="18"/>
              </w:rPr>
            </w:pPr>
            <w:r w:rsidRPr="00B04290">
              <w:rPr>
                <w:rFonts w:asciiTheme="majorHAnsi" w:hAnsiTheme="majorHAnsi" w:cstheme="majorHAnsi"/>
                <w:b/>
                <w:sz w:val="18"/>
                <w:szCs w:val="18"/>
              </w:rPr>
              <w:t xml:space="preserve">Author(s)   </w:t>
            </w:r>
          </w:p>
        </w:tc>
        <w:tc>
          <w:tcPr>
            <w:tcW w:w="3024" w:type="dxa"/>
            <w:tcBorders>
              <w:top w:val="single" w:sz="4" w:space="0" w:color="auto"/>
              <w:left w:val="single" w:sz="4" w:space="0" w:color="auto"/>
              <w:bottom w:val="single" w:sz="4" w:space="0" w:color="auto"/>
              <w:right w:val="single" w:sz="4" w:space="0" w:color="auto"/>
            </w:tcBorders>
          </w:tcPr>
          <w:p w14:paraId="28645822" w14:textId="77777777" w:rsidR="00B04290" w:rsidRPr="00B04290" w:rsidRDefault="00B04290" w:rsidP="00E103D6">
            <w:pPr>
              <w:jc w:val="center"/>
              <w:rPr>
                <w:rFonts w:asciiTheme="majorHAnsi" w:hAnsiTheme="majorHAnsi" w:cstheme="majorHAnsi"/>
                <w:sz w:val="18"/>
                <w:szCs w:val="18"/>
              </w:rPr>
            </w:pPr>
            <w:r w:rsidRPr="00B04290">
              <w:rPr>
                <w:rFonts w:asciiTheme="majorHAnsi" w:hAnsiTheme="majorHAnsi" w:cstheme="majorHAnsi"/>
                <w:b/>
                <w:sz w:val="18"/>
                <w:szCs w:val="18"/>
              </w:rPr>
              <w:t>Revision Notes</w:t>
            </w:r>
          </w:p>
        </w:tc>
      </w:tr>
      <w:tr w:rsidR="00B04290" w:rsidRPr="00B04290" w14:paraId="5A9C1E4E" w14:textId="77777777" w:rsidTr="00E103D6">
        <w:trPr>
          <w:trHeight w:val="922"/>
          <w:jc w:val="center"/>
        </w:trPr>
        <w:tc>
          <w:tcPr>
            <w:tcW w:w="1987" w:type="dxa"/>
            <w:tcBorders>
              <w:top w:val="single" w:sz="4" w:space="0" w:color="auto"/>
              <w:left w:val="single" w:sz="4" w:space="0" w:color="auto"/>
              <w:bottom w:val="single" w:sz="4" w:space="0" w:color="auto"/>
              <w:right w:val="single" w:sz="4" w:space="0" w:color="auto"/>
            </w:tcBorders>
          </w:tcPr>
          <w:p w14:paraId="0AAE54DC" w14:textId="77777777" w:rsidR="00B04290" w:rsidRPr="00B04290" w:rsidRDefault="00B04290" w:rsidP="00E103D6">
            <w:pPr>
              <w:jc w:val="center"/>
              <w:rPr>
                <w:rFonts w:asciiTheme="majorHAnsi" w:hAnsiTheme="majorHAnsi" w:cstheme="majorHAnsi"/>
                <w:sz w:val="18"/>
                <w:szCs w:val="18"/>
              </w:rPr>
            </w:pPr>
            <w:r w:rsidRPr="00B04290">
              <w:rPr>
                <w:rFonts w:asciiTheme="majorHAnsi" w:hAnsiTheme="majorHAnsi" w:cstheme="majorHAnsi"/>
                <w:sz w:val="18"/>
                <w:szCs w:val="18"/>
              </w:rPr>
              <w:t>8</w:t>
            </w:r>
          </w:p>
        </w:tc>
        <w:tc>
          <w:tcPr>
            <w:tcW w:w="1980" w:type="dxa"/>
            <w:tcBorders>
              <w:top w:val="single" w:sz="4" w:space="0" w:color="auto"/>
              <w:left w:val="single" w:sz="4" w:space="0" w:color="auto"/>
              <w:bottom w:val="single" w:sz="4" w:space="0" w:color="auto"/>
              <w:right w:val="single" w:sz="4" w:space="0" w:color="auto"/>
            </w:tcBorders>
          </w:tcPr>
          <w:p w14:paraId="5CFA3D55" w14:textId="77777777" w:rsidR="00B04290" w:rsidRPr="00B04290" w:rsidRDefault="00B04290" w:rsidP="00E103D6">
            <w:pPr>
              <w:jc w:val="center"/>
              <w:rPr>
                <w:rFonts w:asciiTheme="majorHAnsi" w:hAnsiTheme="majorHAnsi" w:cstheme="majorHAnsi"/>
                <w:sz w:val="18"/>
                <w:szCs w:val="18"/>
              </w:rPr>
            </w:pPr>
            <w:r w:rsidRPr="00B04290">
              <w:rPr>
                <w:rFonts w:asciiTheme="majorHAnsi" w:hAnsiTheme="majorHAnsi" w:cstheme="majorHAnsi"/>
                <w:sz w:val="18"/>
                <w:szCs w:val="18"/>
              </w:rPr>
              <w:t>25 July 2020</w:t>
            </w:r>
          </w:p>
        </w:tc>
        <w:tc>
          <w:tcPr>
            <w:tcW w:w="2340" w:type="dxa"/>
            <w:tcBorders>
              <w:top w:val="single" w:sz="4" w:space="0" w:color="auto"/>
              <w:left w:val="single" w:sz="4" w:space="0" w:color="auto"/>
              <w:bottom w:val="single" w:sz="4" w:space="0" w:color="auto"/>
              <w:right w:val="single" w:sz="4" w:space="0" w:color="auto"/>
            </w:tcBorders>
          </w:tcPr>
          <w:p w14:paraId="070FD5AD" w14:textId="77777777" w:rsidR="00B04290" w:rsidRPr="00B04290" w:rsidRDefault="00B04290" w:rsidP="00E103D6">
            <w:pPr>
              <w:jc w:val="center"/>
              <w:rPr>
                <w:rFonts w:asciiTheme="majorHAnsi" w:hAnsiTheme="majorHAnsi" w:cstheme="majorHAnsi"/>
                <w:sz w:val="18"/>
                <w:szCs w:val="18"/>
              </w:rPr>
            </w:pPr>
            <w:r w:rsidRPr="00B04290">
              <w:rPr>
                <w:rFonts w:asciiTheme="majorHAnsi" w:hAnsiTheme="majorHAnsi" w:cstheme="majorHAnsi"/>
                <w:sz w:val="18"/>
                <w:szCs w:val="18"/>
              </w:rPr>
              <w:t>Luc Vandamme, Mark Richmond, Nurana Sadikhova, John Dada, Andrei Voicu</w:t>
            </w:r>
          </w:p>
        </w:tc>
        <w:tc>
          <w:tcPr>
            <w:tcW w:w="3024" w:type="dxa"/>
            <w:tcBorders>
              <w:top w:val="single" w:sz="4" w:space="0" w:color="auto"/>
              <w:left w:val="single" w:sz="4" w:space="0" w:color="auto"/>
              <w:bottom w:val="single" w:sz="4" w:space="0" w:color="auto"/>
              <w:right w:val="single" w:sz="4" w:space="0" w:color="auto"/>
            </w:tcBorders>
          </w:tcPr>
          <w:p w14:paraId="058501A1" w14:textId="77777777" w:rsidR="00B04290" w:rsidRPr="00B04290" w:rsidRDefault="00B04290" w:rsidP="00E103D6">
            <w:pPr>
              <w:jc w:val="center"/>
              <w:rPr>
                <w:rFonts w:asciiTheme="majorHAnsi" w:hAnsiTheme="majorHAnsi" w:cstheme="majorHAnsi"/>
                <w:sz w:val="18"/>
                <w:szCs w:val="18"/>
              </w:rPr>
            </w:pPr>
            <w:r w:rsidRPr="00B04290">
              <w:rPr>
                <w:rFonts w:asciiTheme="majorHAnsi" w:hAnsiTheme="majorHAnsi" w:cstheme="majorHAnsi"/>
                <w:sz w:val="18"/>
                <w:szCs w:val="18"/>
              </w:rPr>
              <w:t>Next review 25 July  2021</w:t>
            </w:r>
          </w:p>
        </w:tc>
      </w:tr>
    </w:tbl>
    <w:p w14:paraId="3243859B" w14:textId="77777777" w:rsidR="00B04290" w:rsidRPr="00B04290" w:rsidRDefault="00B04290" w:rsidP="00B04290">
      <w:pPr>
        <w:ind w:left="2714"/>
        <w:jc w:val="center"/>
        <w:rPr>
          <w:rFonts w:asciiTheme="majorHAnsi" w:hAnsiTheme="majorHAnsi" w:cstheme="majorHAnsi"/>
          <w:sz w:val="18"/>
          <w:szCs w:val="18"/>
        </w:rPr>
      </w:pPr>
    </w:p>
    <w:p w14:paraId="63695B08" w14:textId="77777777" w:rsidR="00B04290" w:rsidRPr="00B04290" w:rsidRDefault="00B04290" w:rsidP="00B04290">
      <w:pPr>
        <w:rPr>
          <w:rFonts w:asciiTheme="majorHAnsi" w:hAnsiTheme="majorHAnsi" w:cstheme="majorHAnsi"/>
          <w:sz w:val="18"/>
          <w:szCs w:val="18"/>
        </w:rPr>
      </w:pPr>
      <w:r w:rsidRPr="00B04290">
        <w:rPr>
          <w:rFonts w:asciiTheme="majorHAnsi" w:hAnsiTheme="majorHAnsi" w:cstheme="majorHAnsi"/>
          <w:sz w:val="18"/>
          <w:szCs w:val="18"/>
        </w:rPr>
        <w:t> </w:t>
      </w:r>
    </w:p>
    <w:p w14:paraId="5BD625EF" w14:textId="77777777" w:rsidR="00B04290" w:rsidRPr="00B04290" w:rsidRDefault="00B04290" w:rsidP="00B04290">
      <w:pPr>
        <w:jc w:val="center"/>
        <w:rPr>
          <w:rFonts w:asciiTheme="majorHAnsi" w:hAnsiTheme="majorHAnsi" w:cstheme="majorHAnsi"/>
          <w:sz w:val="18"/>
          <w:szCs w:val="18"/>
        </w:rPr>
      </w:pPr>
      <w:r w:rsidRPr="00B04290">
        <w:rPr>
          <w:rFonts w:asciiTheme="majorHAnsi" w:hAnsiTheme="majorHAnsi" w:cstheme="majorHAnsi"/>
          <w:sz w:val="18"/>
          <w:szCs w:val="18"/>
        </w:rPr>
        <w:t xml:space="preserve">Provide feedback: </w:t>
      </w:r>
      <w:hyperlink r:id="rId14" w:history="1">
        <w:r w:rsidRPr="00B04290">
          <w:rPr>
            <w:rStyle w:val="Hyperlink"/>
            <w:rFonts w:asciiTheme="majorHAnsi" w:hAnsiTheme="majorHAnsi" w:cstheme="majorHAnsi"/>
            <w:sz w:val="18"/>
            <w:szCs w:val="18"/>
          </w:rPr>
          <w:t>luc.vandamme@undp.org</w:t>
        </w:r>
      </w:hyperlink>
      <w:r w:rsidRPr="00B04290">
        <w:rPr>
          <w:rStyle w:val="Hyperlink"/>
          <w:rFonts w:asciiTheme="majorHAnsi" w:hAnsiTheme="majorHAnsi" w:cstheme="majorHAnsi"/>
          <w:sz w:val="18"/>
          <w:szCs w:val="18"/>
        </w:rPr>
        <w:t>, mark.richmond@undp.org</w:t>
      </w:r>
    </w:p>
    <w:p w14:paraId="417A2E78" w14:textId="77777777" w:rsidR="00B04290" w:rsidRPr="00B04290" w:rsidRDefault="00B04290" w:rsidP="00B04290">
      <w:pPr>
        <w:jc w:val="center"/>
        <w:rPr>
          <w:rFonts w:asciiTheme="majorHAnsi" w:hAnsiTheme="majorHAnsi" w:cstheme="majorHAnsi"/>
          <w:sz w:val="20"/>
          <w:szCs w:val="20"/>
        </w:rPr>
      </w:pPr>
      <w:r w:rsidRPr="00B04290">
        <w:rPr>
          <w:rFonts w:asciiTheme="majorHAnsi" w:hAnsiTheme="majorHAnsi" w:cstheme="majorHAnsi"/>
          <w:sz w:val="18"/>
          <w:szCs w:val="18"/>
        </w:rPr>
        <w:lastRenderedPageBreak/>
        <w:t>Ask questions: nurana.sadikhova@undp.org</w:t>
      </w:r>
      <w:r w:rsidRPr="00B04290">
        <w:rPr>
          <w:rStyle w:val="Hyperlink"/>
          <w:rFonts w:asciiTheme="majorHAnsi" w:hAnsiTheme="majorHAnsi" w:cstheme="majorHAnsi"/>
          <w:sz w:val="18"/>
          <w:szCs w:val="18"/>
        </w:rPr>
        <w:t>, andrei.voicu@undp.org</w:t>
      </w:r>
      <w:r w:rsidRPr="00B04290">
        <w:rPr>
          <w:rFonts w:asciiTheme="majorHAnsi" w:hAnsiTheme="majorHAnsi" w:cstheme="majorHAnsi"/>
          <w:sz w:val="20"/>
          <w:szCs w:val="20"/>
        </w:rPr>
        <w:t xml:space="preserve"> </w:t>
      </w:r>
    </w:p>
    <w:p w14:paraId="075599F9" w14:textId="77777777" w:rsidR="00B04290" w:rsidRPr="00FF4517" w:rsidRDefault="00B04290" w:rsidP="00B04290">
      <w:pPr>
        <w:pStyle w:val="Tabletext"/>
        <w:numPr>
          <w:ilvl w:val="0"/>
          <w:numId w:val="43"/>
        </w:numPr>
        <w:spacing w:after="120" w:line="360" w:lineRule="auto"/>
        <w:rPr>
          <w:rFonts w:asciiTheme="majorHAnsi" w:hAnsiTheme="majorHAnsi" w:cstheme="majorHAnsi"/>
          <w:b/>
          <w:szCs w:val="22"/>
          <w:lang w:val="en-US"/>
        </w:rPr>
      </w:pPr>
      <w:r w:rsidRPr="00FF4517">
        <w:rPr>
          <w:rFonts w:asciiTheme="majorHAnsi" w:hAnsiTheme="majorHAnsi" w:cstheme="majorHAnsi"/>
          <w:b/>
          <w:bCs/>
          <w:szCs w:val="22"/>
        </w:rPr>
        <w:t>REFERENCES</w:t>
      </w:r>
    </w:p>
    <w:p w14:paraId="7A0099E7" w14:textId="1A8D0760" w:rsidR="00B04290" w:rsidRPr="00FF4517" w:rsidRDefault="007F31CF" w:rsidP="00B04290">
      <w:pPr>
        <w:pStyle w:val="ListParagraph"/>
        <w:numPr>
          <w:ilvl w:val="0"/>
          <w:numId w:val="46"/>
        </w:numPr>
        <w:spacing w:line="360" w:lineRule="auto"/>
        <w:ind w:right="-26"/>
        <w:jc w:val="both"/>
        <w:rPr>
          <w:rStyle w:val="Hyperlink"/>
          <w:rFonts w:asciiTheme="majorHAnsi" w:hAnsiTheme="majorHAnsi" w:cstheme="majorHAnsi"/>
          <w:color w:val="000000" w:themeColor="text1"/>
          <w:sz w:val="22"/>
          <w:szCs w:val="22"/>
          <w:lang w:val="en-GB"/>
        </w:rPr>
      </w:pPr>
      <w:hyperlink r:id="rId15" w:history="1">
        <w:r w:rsidR="00B04290" w:rsidRPr="008912C0">
          <w:rPr>
            <w:rStyle w:val="Hyperlink"/>
            <w:rFonts w:asciiTheme="majorHAnsi" w:hAnsiTheme="majorHAnsi" w:cstheme="majorHAnsi"/>
            <w:sz w:val="22"/>
            <w:szCs w:val="22"/>
          </w:rPr>
          <w:t>UNSMS Security Policy Manual</w:t>
        </w:r>
      </w:hyperlink>
    </w:p>
    <w:p w14:paraId="041D38D2" w14:textId="68C111D9" w:rsidR="00B04290" w:rsidRPr="00FF4517" w:rsidRDefault="007F31CF" w:rsidP="00B04290">
      <w:pPr>
        <w:pStyle w:val="ListParagraph"/>
        <w:numPr>
          <w:ilvl w:val="0"/>
          <w:numId w:val="46"/>
        </w:numPr>
        <w:spacing w:after="120" w:line="360" w:lineRule="auto"/>
        <w:ind w:right="-26"/>
        <w:jc w:val="both"/>
        <w:rPr>
          <w:rFonts w:asciiTheme="majorHAnsi" w:hAnsiTheme="majorHAnsi" w:cstheme="majorHAnsi"/>
          <w:sz w:val="22"/>
          <w:szCs w:val="22"/>
        </w:rPr>
      </w:pPr>
      <w:hyperlink r:id="rId16" w:history="1">
        <w:r w:rsidR="00B04290" w:rsidRPr="008912C0">
          <w:rPr>
            <w:rStyle w:val="Hyperlink"/>
            <w:rFonts w:asciiTheme="majorHAnsi" w:hAnsiTheme="majorHAnsi" w:cstheme="majorHAnsi"/>
            <w:sz w:val="22"/>
            <w:szCs w:val="22"/>
          </w:rPr>
          <w:t>UNDP Security Framework of Accountability</w:t>
        </w:r>
      </w:hyperlink>
    </w:p>
    <w:p w14:paraId="7019742D" w14:textId="2F345BF1" w:rsidR="00B04290" w:rsidRPr="00FF4517" w:rsidRDefault="007F31CF" w:rsidP="00B04290">
      <w:pPr>
        <w:pStyle w:val="ListParagraph"/>
        <w:numPr>
          <w:ilvl w:val="0"/>
          <w:numId w:val="46"/>
        </w:numPr>
        <w:spacing w:after="120" w:line="360" w:lineRule="auto"/>
        <w:ind w:right="-26"/>
        <w:jc w:val="both"/>
        <w:rPr>
          <w:rFonts w:asciiTheme="majorHAnsi" w:hAnsiTheme="majorHAnsi" w:cstheme="majorHAnsi"/>
          <w:sz w:val="22"/>
          <w:szCs w:val="22"/>
        </w:rPr>
      </w:pPr>
      <w:hyperlink r:id="rId17" w:history="1">
        <w:r w:rsidR="00B04290" w:rsidRPr="008912C0">
          <w:rPr>
            <w:rStyle w:val="Hyperlink"/>
            <w:rFonts w:asciiTheme="majorHAnsi" w:hAnsiTheme="majorHAnsi" w:cstheme="majorHAnsi"/>
            <w:sz w:val="22"/>
            <w:szCs w:val="22"/>
          </w:rPr>
          <w:t>UNDP Financial Rules and Regulations</w:t>
        </w:r>
      </w:hyperlink>
      <w:r w:rsidR="00B04290" w:rsidRPr="00FF4517">
        <w:rPr>
          <w:rFonts w:asciiTheme="majorHAnsi" w:hAnsiTheme="majorHAnsi" w:cstheme="majorHAnsi"/>
          <w:sz w:val="22"/>
          <w:szCs w:val="22"/>
        </w:rPr>
        <w:t xml:space="preserve">, the </w:t>
      </w:r>
      <w:hyperlink r:id="rId18" w:history="1">
        <w:r w:rsidR="00B04290" w:rsidRPr="008912C0">
          <w:rPr>
            <w:rStyle w:val="Hyperlink"/>
            <w:rFonts w:asciiTheme="majorHAnsi" w:hAnsiTheme="majorHAnsi" w:cstheme="majorHAnsi"/>
            <w:sz w:val="22"/>
            <w:szCs w:val="22"/>
          </w:rPr>
          <w:t>Internal Control Framework</w:t>
        </w:r>
      </w:hyperlink>
      <w:r w:rsidR="00B04290" w:rsidRPr="00FF4517">
        <w:rPr>
          <w:rFonts w:asciiTheme="majorHAnsi" w:hAnsiTheme="majorHAnsi" w:cstheme="majorHAnsi"/>
          <w:sz w:val="22"/>
          <w:szCs w:val="22"/>
        </w:rPr>
        <w:t xml:space="preserve"> and the</w:t>
      </w:r>
      <w:r w:rsidR="00B0550D">
        <w:rPr>
          <w:rFonts w:asciiTheme="majorHAnsi" w:hAnsiTheme="majorHAnsi" w:cstheme="majorHAnsi"/>
          <w:sz w:val="22"/>
          <w:szCs w:val="22"/>
        </w:rPr>
        <w:t xml:space="preserve"> </w:t>
      </w:r>
      <w:hyperlink r:id="rId19" w:history="1">
        <w:r w:rsidR="00B0550D" w:rsidRPr="00B0550D">
          <w:rPr>
            <w:rStyle w:val="Hyperlink"/>
            <w:rFonts w:asciiTheme="majorHAnsi" w:hAnsiTheme="majorHAnsi" w:cstheme="majorHAnsi"/>
            <w:sz w:val="22"/>
            <w:szCs w:val="22"/>
          </w:rPr>
          <w:t>Cost Recovery from Other Resources - GMS policy</w:t>
        </w:r>
      </w:hyperlink>
    </w:p>
    <w:p w14:paraId="1B8AE2C7" w14:textId="77777777" w:rsidR="00B04290" w:rsidRPr="00FF4517" w:rsidRDefault="00B04290" w:rsidP="00B04290">
      <w:pPr>
        <w:pStyle w:val="Tabletext"/>
        <w:numPr>
          <w:ilvl w:val="0"/>
          <w:numId w:val="43"/>
        </w:numPr>
        <w:spacing w:after="120" w:line="360" w:lineRule="auto"/>
        <w:rPr>
          <w:rFonts w:asciiTheme="majorHAnsi" w:hAnsiTheme="majorHAnsi" w:cstheme="majorHAnsi"/>
          <w:b/>
          <w:szCs w:val="22"/>
          <w:lang w:val="en-US"/>
        </w:rPr>
      </w:pPr>
      <w:r w:rsidRPr="00FF4517">
        <w:rPr>
          <w:rFonts w:asciiTheme="majorHAnsi" w:hAnsiTheme="majorHAnsi" w:cstheme="majorHAnsi"/>
          <w:b/>
          <w:szCs w:val="22"/>
          <w:lang w:val="en-US"/>
        </w:rPr>
        <w:t>B</w:t>
      </w:r>
      <w:r w:rsidRPr="00FF4517">
        <w:rPr>
          <w:rFonts w:asciiTheme="majorHAnsi" w:hAnsiTheme="majorHAnsi" w:cstheme="majorHAnsi"/>
          <w:b/>
          <w:bCs/>
          <w:szCs w:val="22"/>
        </w:rPr>
        <w:t>ACKGROUND</w:t>
      </w:r>
    </w:p>
    <w:p w14:paraId="3A2AACA8" w14:textId="77777777" w:rsidR="00B04290" w:rsidRPr="00FF4517" w:rsidRDefault="00B04290" w:rsidP="00B04290">
      <w:pPr>
        <w:spacing w:after="120" w:line="360" w:lineRule="auto"/>
        <w:jc w:val="both"/>
        <w:rPr>
          <w:rFonts w:asciiTheme="majorHAnsi" w:hAnsiTheme="majorHAnsi" w:cstheme="majorHAnsi"/>
          <w:color w:val="000000" w:themeColor="text1"/>
          <w:sz w:val="22"/>
          <w:szCs w:val="22"/>
        </w:rPr>
      </w:pPr>
      <w:r w:rsidRPr="00FF4517">
        <w:rPr>
          <w:rFonts w:asciiTheme="majorHAnsi" w:hAnsiTheme="majorHAnsi" w:cstheme="majorHAnsi"/>
          <w:color w:val="000000" w:themeColor="text1"/>
          <w:sz w:val="22"/>
          <w:szCs w:val="22"/>
        </w:rPr>
        <w:t xml:space="preserve">The security and safety of UNDP personnel is UNDP’s highest priority in delivering its mandate around the world. Noting that the security of UN personnel is the primary responsibility of the host country authorities, UNDP ensures that adequate resources are available to optimally meet General Assembly-mandated security requirements associated with UNDP’s participation in the UNDSS coordinated United Nations Security Management System (UNSMS) and compliance with the measures identified through the Security Risk Management (SRM) process (formerly Minimum Operating Security Standards (MOSS). </w:t>
      </w:r>
    </w:p>
    <w:p w14:paraId="122E83FF" w14:textId="77777777" w:rsidR="00B04290" w:rsidRPr="00FF4517" w:rsidRDefault="00B04290" w:rsidP="00B04290">
      <w:pPr>
        <w:spacing w:after="120" w:line="360" w:lineRule="auto"/>
        <w:jc w:val="both"/>
        <w:rPr>
          <w:rFonts w:asciiTheme="majorHAnsi" w:hAnsiTheme="majorHAnsi" w:cstheme="majorHAnsi"/>
          <w:color w:val="000000" w:themeColor="text1"/>
          <w:sz w:val="22"/>
          <w:szCs w:val="22"/>
        </w:rPr>
      </w:pPr>
      <w:r w:rsidRPr="00FF4517">
        <w:rPr>
          <w:rFonts w:asciiTheme="majorHAnsi" w:hAnsiTheme="majorHAnsi" w:cstheme="majorHAnsi"/>
          <w:color w:val="000000" w:themeColor="text1"/>
          <w:sz w:val="22"/>
          <w:szCs w:val="22"/>
        </w:rPr>
        <w:t>Security costs incurred by UNDP can be classified into the following categories:</w:t>
      </w:r>
    </w:p>
    <w:p w14:paraId="1D8A94BF" w14:textId="77777777" w:rsidR="00B04290" w:rsidRPr="00FF4517" w:rsidRDefault="00B04290" w:rsidP="00B04290">
      <w:pPr>
        <w:pStyle w:val="ListParagraph"/>
        <w:numPr>
          <w:ilvl w:val="0"/>
          <w:numId w:val="41"/>
        </w:numPr>
        <w:spacing w:after="120" w:line="360" w:lineRule="auto"/>
        <w:jc w:val="both"/>
        <w:rPr>
          <w:rFonts w:asciiTheme="majorHAnsi" w:hAnsiTheme="majorHAnsi" w:cstheme="majorHAnsi"/>
          <w:b/>
          <w:color w:val="000000" w:themeColor="text1"/>
          <w:sz w:val="22"/>
          <w:szCs w:val="22"/>
        </w:rPr>
      </w:pPr>
      <w:r w:rsidRPr="00FF4517">
        <w:rPr>
          <w:rFonts w:asciiTheme="majorHAnsi" w:hAnsiTheme="majorHAnsi" w:cstheme="majorHAnsi"/>
          <w:b/>
          <w:color w:val="000000" w:themeColor="text1"/>
          <w:sz w:val="22"/>
          <w:szCs w:val="22"/>
        </w:rPr>
        <w:t xml:space="preserve">United Nations-mandated security costs centrally managed: </w:t>
      </w:r>
    </w:p>
    <w:p w14:paraId="68792552" w14:textId="77777777" w:rsidR="00B04290" w:rsidRPr="00FF4517" w:rsidRDefault="00B04290" w:rsidP="00B04290">
      <w:pPr>
        <w:pStyle w:val="ListParagraph"/>
        <w:numPr>
          <w:ilvl w:val="0"/>
          <w:numId w:val="40"/>
        </w:numPr>
        <w:spacing w:after="120" w:line="360" w:lineRule="auto"/>
        <w:jc w:val="both"/>
        <w:rPr>
          <w:rFonts w:asciiTheme="majorHAnsi" w:hAnsiTheme="majorHAnsi" w:cstheme="majorHAnsi"/>
          <w:color w:val="000000" w:themeColor="text1"/>
          <w:sz w:val="22"/>
          <w:szCs w:val="22"/>
        </w:rPr>
      </w:pPr>
      <w:r w:rsidRPr="00FF4517">
        <w:rPr>
          <w:rFonts w:asciiTheme="majorHAnsi" w:hAnsiTheme="majorHAnsi" w:cstheme="majorHAnsi"/>
          <w:color w:val="000000" w:themeColor="text1"/>
          <w:sz w:val="22"/>
          <w:szCs w:val="22"/>
        </w:rPr>
        <w:t>UNDP’s contribution to the United Nations security management system (UNSMS/UNDSS - mainly UNDSS field security operations);</w:t>
      </w:r>
    </w:p>
    <w:p w14:paraId="0A99B500" w14:textId="77777777" w:rsidR="00B04290" w:rsidRPr="00FF4517" w:rsidRDefault="00B04290" w:rsidP="00B04290">
      <w:pPr>
        <w:pStyle w:val="ListParagraph"/>
        <w:numPr>
          <w:ilvl w:val="0"/>
          <w:numId w:val="40"/>
        </w:numPr>
        <w:spacing w:after="120" w:line="360" w:lineRule="auto"/>
        <w:jc w:val="both"/>
        <w:rPr>
          <w:rFonts w:asciiTheme="majorHAnsi" w:hAnsiTheme="majorHAnsi" w:cstheme="majorHAnsi"/>
          <w:color w:val="000000" w:themeColor="text1"/>
          <w:sz w:val="22"/>
          <w:szCs w:val="22"/>
        </w:rPr>
      </w:pPr>
      <w:r w:rsidRPr="00FF4517">
        <w:rPr>
          <w:rFonts w:asciiTheme="majorHAnsi" w:hAnsiTheme="majorHAnsi" w:cstheme="majorHAnsi"/>
          <w:color w:val="000000" w:themeColor="text1"/>
          <w:sz w:val="22"/>
          <w:szCs w:val="22"/>
        </w:rPr>
        <w:t>UNDP’s compliance with SRM/Minimum Operational Security Standards (MOSS) - UNDP’s investments both in the field and at headquarters locations for security compliance, improvement of premises security, blast and seismic assessments, and office relocations.</w:t>
      </w:r>
    </w:p>
    <w:p w14:paraId="45C17E4B" w14:textId="77777777" w:rsidR="00B04290" w:rsidRPr="00FF4517" w:rsidRDefault="00B04290" w:rsidP="00B04290">
      <w:pPr>
        <w:pStyle w:val="ListParagraph"/>
        <w:numPr>
          <w:ilvl w:val="0"/>
          <w:numId w:val="41"/>
        </w:numPr>
        <w:spacing w:after="120" w:line="360" w:lineRule="auto"/>
        <w:jc w:val="both"/>
        <w:rPr>
          <w:rFonts w:asciiTheme="majorHAnsi" w:hAnsiTheme="majorHAnsi" w:cstheme="majorHAnsi"/>
          <w:b/>
          <w:color w:val="000000" w:themeColor="text1"/>
          <w:sz w:val="22"/>
          <w:szCs w:val="22"/>
        </w:rPr>
      </w:pPr>
      <w:r w:rsidRPr="00FF4517">
        <w:rPr>
          <w:rFonts w:asciiTheme="majorHAnsi" w:hAnsiTheme="majorHAnsi" w:cstheme="majorHAnsi"/>
          <w:b/>
          <w:color w:val="000000" w:themeColor="text1"/>
          <w:sz w:val="22"/>
          <w:szCs w:val="22"/>
        </w:rPr>
        <w:t>Locally managed and incurred security costs:</w:t>
      </w:r>
    </w:p>
    <w:p w14:paraId="2B16CD0D" w14:textId="77777777" w:rsidR="00B04290" w:rsidRPr="00FF4517" w:rsidRDefault="00B04290" w:rsidP="00B04290">
      <w:pPr>
        <w:pStyle w:val="ListParagraph"/>
        <w:numPr>
          <w:ilvl w:val="0"/>
          <w:numId w:val="40"/>
        </w:numPr>
        <w:spacing w:after="120" w:line="360" w:lineRule="auto"/>
        <w:jc w:val="both"/>
        <w:rPr>
          <w:rFonts w:asciiTheme="majorHAnsi" w:hAnsiTheme="majorHAnsi" w:cstheme="majorHAnsi"/>
          <w:color w:val="000000" w:themeColor="text1"/>
          <w:sz w:val="22"/>
          <w:szCs w:val="22"/>
        </w:rPr>
      </w:pPr>
      <w:r w:rsidRPr="00FF4517">
        <w:rPr>
          <w:rFonts w:asciiTheme="majorHAnsi" w:hAnsiTheme="majorHAnsi" w:cstheme="majorHAnsi"/>
          <w:color w:val="000000" w:themeColor="text1"/>
          <w:sz w:val="22"/>
          <w:szCs w:val="22"/>
        </w:rPr>
        <w:t>Common security budgets cost-shared at the country level by UN Agencies (LCSSBs – Locally Cost-Shared Security Budgets);</w:t>
      </w:r>
    </w:p>
    <w:p w14:paraId="24C54257" w14:textId="77777777" w:rsidR="00B04290" w:rsidRPr="00FF4517" w:rsidRDefault="00B04290" w:rsidP="00B04290">
      <w:pPr>
        <w:pStyle w:val="ListParagraph"/>
        <w:numPr>
          <w:ilvl w:val="0"/>
          <w:numId w:val="40"/>
        </w:numPr>
        <w:spacing w:after="120" w:line="360" w:lineRule="auto"/>
        <w:jc w:val="both"/>
        <w:rPr>
          <w:rFonts w:asciiTheme="majorHAnsi" w:hAnsiTheme="majorHAnsi" w:cstheme="majorHAnsi"/>
          <w:color w:val="000000" w:themeColor="text1"/>
          <w:sz w:val="22"/>
          <w:szCs w:val="22"/>
        </w:rPr>
      </w:pPr>
      <w:r w:rsidRPr="00FF4517">
        <w:rPr>
          <w:rFonts w:asciiTheme="majorHAnsi" w:hAnsiTheme="majorHAnsi" w:cstheme="majorHAnsi"/>
          <w:color w:val="000000" w:themeColor="text1"/>
          <w:sz w:val="22"/>
          <w:szCs w:val="22"/>
        </w:rPr>
        <w:t>Security-related costs directly incurred by UNDP offices and development projects.</w:t>
      </w:r>
    </w:p>
    <w:p w14:paraId="3E8EDC8C" w14:textId="77777777" w:rsidR="00B04290" w:rsidRPr="00FF4517" w:rsidRDefault="00B04290" w:rsidP="00B04290">
      <w:pPr>
        <w:spacing w:after="120" w:line="360" w:lineRule="auto"/>
        <w:jc w:val="both"/>
        <w:rPr>
          <w:rFonts w:asciiTheme="majorHAnsi" w:hAnsiTheme="majorHAnsi" w:cstheme="majorHAnsi"/>
          <w:sz w:val="22"/>
          <w:szCs w:val="22"/>
        </w:rPr>
      </w:pPr>
      <w:r w:rsidRPr="00FF4517">
        <w:rPr>
          <w:rFonts w:asciiTheme="majorHAnsi" w:hAnsiTheme="majorHAnsi" w:cstheme="majorHAnsi"/>
          <w:sz w:val="22"/>
          <w:szCs w:val="22"/>
        </w:rPr>
        <w:t xml:space="preserve">These guidelines are applicable to the above category a.ii., which covers centrally managed security funds for security investments, referred to as United Nations Mandated Security Measures (UNMSM). </w:t>
      </w:r>
      <w:r w:rsidRPr="00FF4517">
        <w:rPr>
          <w:rFonts w:asciiTheme="majorHAnsi" w:hAnsiTheme="majorHAnsi" w:cstheme="majorHAnsi"/>
          <w:sz w:val="22"/>
          <w:szCs w:val="22"/>
          <w:lang w:val="en-GB"/>
        </w:rPr>
        <w:t>They</w:t>
      </w:r>
      <w:r w:rsidRPr="00FF4517">
        <w:rPr>
          <w:rFonts w:asciiTheme="majorHAnsi" w:hAnsiTheme="majorHAnsi" w:cstheme="majorHAnsi"/>
          <w:sz w:val="22"/>
          <w:szCs w:val="22"/>
        </w:rPr>
        <w:t xml:space="preserve"> outline the budgetary, financial, and procurement procedures for the resources available centrally within UNDP to cover UN Mandated Security Measures (UNMSM). UNMSM represents security-related activities required to be undertaken in response to United </w:t>
      </w:r>
      <w:r w:rsidRPr="00FF4517">
        <w:rPr>
          <w:rFonts w:asciiTheme="majorHAnsi" w:hAnsiTheme="majorHAnsi" w:cstheme="majorHAnsi"/>
          <w:sz w:val="22"/>
          <w:szCs w:val="22"/>
        </w:rPr>
        <w:lastRenderedPageBreak/>
        <w:t xml:space="preserve">Nations Security Management System (UNSMS) policy directives and recommendations made in the Security Risk management (SRM) process to ensure security compliance in duty stations both in the field and at headquarters locations. </w:t>
      </w:r>
    </w:p>
    <w:p w14:paraId="09AFB1A4" w14:textId="77777777" w:rsidR="00B04290" w:rsidRPr="00FF4517" w:rsidRDefault="00B04290" w:rsidP="00B04290">
      <w:pPr>
        <w:pStyle w:val="Tabletext"/>
        <w:numPr>
          <w:ilvl w:val="0"/>
          <w:numId w:val="43"/>
        </w:numPr>
        <w:spacing w:after="120" w:line="360" w:lineRule="auto"/>
        <w:rPr>
          <w:rFonts w:asciiTheme="majorHAnsi" w:hAnsiTheme="majorHAnsi" w:cstheme="majorHAnsi"/>
          <w:b/>
          <w:szCs w:val="22"/>
        </w:rPr>
      </w:pPr>
      <w:r w:rsidRPr="00FF4517">
        <w:rPr>
          <w:rFonts w:asciiTheme="majorHAnsi" w:hAnsiTheme="majorHAnsi" w:cstheme="majorHAnsi"/>
          <w:b/>
          <w:szCs w:val="22"/>
        </w:rPr>
        <w:t xml:space="preserve"> </w:t>
      </w:r>
      <w:r w:rsidRPr="00FF4517">
        <w:rPr>
          <w:rFonts w:asciiTheme="majorHAnsi" w:hAnsiTheme="majorHAnsi" w:cstheme="majorHAnsi"/>
          <w:b/>
          <w:bCs/>
          <w:szCs w:val="22"/>
        </w:rPr>
        <w:t>FUNDING FRAMEWORK</w:t>
      </w:r>
    </w:p>
    <w:p w14:paraId="343E9EB2" w14:textId="77777777" w:rsidR="00B04290" w:rsidRPr="00FF4517" w:rsidRDefault="00B04290" w:rsidP="00B04290">
      <w:pPr>
        <w:pStyle w:val="SingleTxt"/>
        <w:spacing w:line="360" w:lineRule="auto"/>
        <w:ind w:left="0" w:right="0"/>
        <w:rPr>
          <w:rFonts w:asciiTheme="majorHAnsi" w:hAnsiTheme="majorHAnsi" w:cstheme="majorHAnsi"/>
          <w:sz w:val="22"/>
          <w:szCs w:val="22"/>
          <w:lang w:val="en-US"/>
        </w:rPr>
      </w:pPr>
      <w:r w:rsidRPr="00FF4517">
        <w:rPr>
          <w:rFonts w:asciiTheme="majorHAnsi" w:hAnsiTheme="majorHAnsi" w:cstheme="majorHAnsi"/>
          <w:sz w:val="22"/>
          <w:szCs w:val="22"/>
          <w:lang w:val="en-US"/>
        </w:rPr>
        <w:t xml:space="preserve">The UNDP corporate efforts aim to achieve and maintain full security compliance and address other safety and security needs requiring financial resources. Since 2004, UNDP has put in place an internal funding mechanism (the Security Reserve) to fund UNDP security costs related to the United Nations Mandated Security Measures. A portion of the Security Reserve is allocated specifically for UNMSM to support UNDP offices in attaining the recommended security compliance levels in their particular locations. These resources are made available centrally to support UNDP offices to achieve and maintain SRM/MOSS compliance. </w:t>
      </w:r>
    </w:p>
    <w:p w14:paraId="615ADC64" w14:textId="77777777" w:rsidR="00B04290" w:rsidRPr="00FF4517" w:rsidRDefault="00B04290" w:rsidP="00B04290">
      <w:pPr>
        <w:tabs>
          <w:tab w:val="left" w:pos="-1530"/>
        </w:tabs>
        <w:spacing w:after="120" w:line="360" w:lineRule="auto"/>
        <w:ind w:right="-26"/>
        <w:jc w:val="both"/>
        <w:rPr>
          <w:rFonts w:asciiTheme="majorHAnsi" w:hAnsiTheme="majorHAnsi" w:cstheme="majorHAnsi"/>
          <w:sz w:val="22"/>
          <w:szCs w:val="22"/>
        </w:rPr>
      </w:pPr>
      <w:r w:rsidRPr="00FF4517">
        <w:rPr>
          <w:rFonts w:asciiTheme="majorHAnsi" w:hAnsiTheme="majorHAnsi" w:cstheme="majorHAnsi"/>
          <w:sz w:val="22"/>
          <w:szCs w:val="22"/>
        </w:rPr>
        <w:t xml:space="preserve">The UNDP Security Policy requires that security be mainstreamed to fully integrate security into programming and that a sound risk management methodology be applied. Maintenance of SRM measures/MOSS compliance is the ongoing responsibility of the budget owner (CO, programme/project). The only way to ensure </w:t>
      </w:r>
      <w:r w:rsidRPr="00FF4517">
        <w:rPr>
          <w:rFonts w:asciiTheme="majorHAnsi" w:hAnsiTheme="majorHAnsi" w:cstheme="majorHAnsi"/>
          <w:sz w:val="22"/>
          <w:szCs w:val="22"/>
          <w:u w:val="single"/>
        </w:rPr>
        <w:t>dedicated security support</w:t>
      </w:r>
      <w:r w:rsidRPr="00FF4517">
        <w:rPr>
          <w:rFonts w:asciiTheme="majorHAnsi" w:hAnsiTheme="majorHAnsi" w:cstheme="majorHAnsi"/>
          <w:sz w:val="22"/>
          <w:szCs w:val="22"/>
        </w:rPr>
        <w:t xml:space="preserve"> to UNDP programmes/projects is to include the requirements and costs in the programme planning and budgeting process. This represents the only sustainable manner to fund security needs as inputs to the project/programme, like any other input required for the effective delivery of a project. Involvement of the UNDP security practitioners in the early stages of project planning will ensure that security concerns are properly addressed from project inception.  </w:t>
      </w:r>
    </w:p>
    <w:p w14:paraId="75C5DE56" w14:textId="77777777" w:rsidR="00B04290" w:rsidRPr="00FF4517" w:rsidRDefault="00B04290" w:rsidP="00B04290">
      <w:pPr>
        <w:tabs>
          <w:tab w:val="left" w:pos="-1530"/>
        </w:tabs>
        <w:spacing w:after="120" w:line="360" w:lineRule="auto"/>
        <w:ind w:right="-26"/>
        <w:jc w:val="both"/>
        <w:rPr>
          <w:rFonts w:asciiTheme="majorHAnsi" w:hAnsiTheme="majorHAnsi" w:cstheme="majorHAnsi"/>
          <w:sz w:val="22"/>
          <w:szCs w:val="22"/>
        </w:rPr>
      </w:pPr>
      <w:r w:rsidRPr="00FF4517">
        <w:rPr>
          <w:rFonts w:asciiTheme="majorHAnsi" w:hAnsiTheme="majorHAnsi" w:cstheme="majorHAnsi"/>
          <w:sz w:val="22"/>
          <w:szCs w:val="22"/>
        </w:rPr>
        <w:t xml:space="preserve">The UNMSM funding mechanism is used to support eligible UNDP offices however they are not applicable to programme/project offices, which should mainstream security costs into the planning phase of all programmes and projects.   </w:t>
      </w:r>
    </w:p>
    <w:p w14:paraId="42EF8CAB" w14:textId="77777777" w:rsidR="00B04290" w:rsidRPr="00FF4517" w:rsidRDefault="00B04290" w:rsidP="00B04290">
      <w:pPr>
        <w:pStyle w:val="SingleTxt"/>
        <w:spacing w:line="360" w:lineRule="auto"/>
        <w:ind w:left="0" w:right="0"/>
        <w:rPr>
          <w:rFonts w:asciiTheme="majorHAnsi" w:hAnsiTheme="majorHAnsi" w:cstheme="majorHAnsi"/>
          <w:sz w:val="22"/>
          <w:szCs w:val="22"/>
          <w:lang w:val="en-US"/>
        </w:rPr>
      </w:pPr>
      <w:r w:rsidRPr="00FF4517">
        <w:rPr>
          <w:rFonts w:asciiTheme="majorHAnsi" w:hAnsiTheme="majorHAnsi" w:cstheme="majorHAnsi"/>
          <w:sz w:val="22"/>
          <w:szCs w:val="22"/>
          <w:lang w:val="en-US"/>
        </w:rPr>
        <w:t>More specifically, UNMSM resources may be available for the following major categories of security support (not exclusive):</w:t>
      </w:r>
    </w:p>
    <w:p w14:paraId="7AF446AC" w14:textId="77777777" w:rsidR="00B04290" w:rsidRPr="00FF4517" w:rsidRDefault="00B04290" w:rsidP="00B04290">
      <w:pPr>
        <w:pStyle w:val="SingleTxt"/>
        <w:numPr>
          <w:ilvl w:val="0"/>
          <w:numId w:val="42"/>
        </w:numPr>
        <w:spacing w:line="360" w:lineRule="auto"/>
        <w:ind w:right="0"/>
        <w:rPr>
          <w:rFonts w:asciiTheme="majorHAnsi" w:hAnsiTheme="majorHAnsi" w:cstheme="majorHAnsi"/>
          <w:sz w:val="22"/>
          <w:szCs w:val="22"/>
          <w:lang w:val="en-US"/>
        </w:rPr>
      </w:pPr>
      <w:r w:rsidRPr="00FF4517">
        <w:rPr>
          <w:rFonts w:asciiTheme="majorHAnsi" w:hAnsiTheme="majorHAnsi" w:cstheme="majorHAnsi"/>
          <w:sz w:val="22"/>
          <w:szCs w:val="22"/>
          <w:lang w:val="en-US"/>
        </w:rPr>
        <w:lastRenderedPageBreak/>
        <w:t>Implementation of security risk management (SRM) measures (technical equipment support, security infrastructure/retrofitting) as well as specific safety measures specified in the UNSMS</w:t>
      </w:r>
      <w:r w:rsidRPr="00FF4517">
        <w:rPr>
          <w:rStyle w:val="FootnoteReference"/>
          <w:rFonts w:asciiTheme="majorHAnsi" w:hAnsiTheme="majorHAnsi" w:cstheme="majorHAnsi"/>
          <w:sz w:val="22"/>
          <w:szCs w:val="22"/>
          <w:lang w:val="en-US"/>
        </w:rPr>
        <w:footnoteReference w:id="1"/>
      </w:r>
      <w:r w:rsidRPr="00FF4517">
        <w:rPr>
          <w:rFonts w:asciiTheme="majorHAnsi" w:hAnsiTheme="majorHAnsi" w:cstheme="majorHAnsi"/>
          <w:sz w:val="22"/>
          <w:szCs w:val="22"/>
          <w:lang w:val="en-US"/>
        </w:rPr>
        <w:t>.</w:t>
      </w:r>
    </w:p>
    <w:p w14:paraId="08482A6D" w14:textId="77777777" w:rsidR="00B04290" w:rsidRPr="00FF4517" w:rsidRDefault="00B04290" w:rsidP="00B04290">
      <w:pPr>
        <w:pStyle w:val="SingleTxt"/>
        <w:numPr>
          <w:ilvl w:val="0"/>
          <w:numId w:val="42"/>
        </w:numPr>
        <w:spacing w:line="360" w:lineRule="auto"/>
        <w:ind w:right="0"/>
        <w:rPr>
          <w:rFonts w:asciiTheme="majorHAnsi" w:hAnsiTheme="majorHAnsi" w:cstheme="majorHAnsi"/>
          <w:sz w:val="22"/>
          <w:szCs w:val="22"/>
          <w:lang w:val="en-US"/>
        </w:rPr>
      </w:pPr>
      <w:r w:rsidRPr="00FF4517">
        <w:rPr>
          <w:rFonts w:asciiTheme="majorHAnsi" w:hAnsiTheme="majorHAnsi" w:cstheme="majorHAnsi"/>
          <w:sz w:val="22"/>
          <w:szCs w:val="22"/>
          <w:lang w:val="en-US"/>
        </w:rPr>
        <w:t>Exceptional recurring security costs,</w:t>
      </w:r>
    </w:p>
    <w:p w14:paraId="5390477A" w14:textId="77777777" w:rsidR="00B04290" w:rsidRPr="00FF4517" w:rsidRDefault="00B04290" w:rsidP="00B04290">
      <w:pPr>
        <w:pStyle w:val="SingleTxt"/>
        <w:numPr>
          <w:ilvl w:val="0"/>
          <w:numId w:val="42"/>
        </w:numPr>
        <w:spacing w:line="360" w:lineRule="auto"/>
        <w:ind w:right="0"/>
        <w:rPr>
          <w:rFonts w:asciiTheme="majorHAnsi" w:hAnsiTheme="majorHAnsi" w:cstheme="majorHAnsi"/>
          <w:sz w:val="22"/>
          <w:szCs w:val="22"/>
          <w:lang w:val="en-US"/>
        </w:rPr>
      </w:pPr>
      <w:r w:rsidRPr="00FF4517">
        <w:rPr>
          <w:rFonts w:asciiTheme="majorHAnsi" w:hAnsiTheme="majorHAnsi" w:cstheme="majorHAnsi"/>
          <w:sz w:val="22"/>
          <w:szCs w:val="22"/>
          <w:lang w:val="en-US"/>
        </w:rPr>
        <w:t>Security related training,</w:t>
      </w:r>
    </w:p>
    <w:p w14:paraId="6112EFC8" w14:textId="77777777" w:rsidR="00B04290" w:rsidRPr="00FF4517" w:rsidRDefault="00B04290" w:rsidP="00B04290">
      <w:pPr>
        <w:pStyle w:val="SingleTxt"/>
        <w:numPr>
          <w:ilvl w:val="0"/>
          <w:numId w:val="42"/>
        </w:numPr>
        <w:spacing w:line="360" w:lineRule="auto"/>
        <w:ind w:right="0"/>
        <w:rPr>
          <w:rFonts w:asciiTheme="majorHAnsi" w:hAnsiTheme="majorHAnsi" w:cstheme="majorHAnsi"/>
          <w:sz w:val="22"/>
          <w:szCs w:val="22"/>
          <w:lang w:val="en-US"/>
        </w:rPr>
      </w:pPr>
      <w:r w:rsidRPr="00FF4517">
        <w:rPr>
          <w:rFonts w:asciiTheme="majorHAnsi" w:hAnsiTheme="majorHAnsi" w:cstheme="majorHAnsi"/>
          <w:sz w:val="22"/>
          <w:szCs w:val="22"/>
          <w:lang w:val="en-US"/>
        </w:rPr>
        <w:t>Blast vulnerability assessments and mitigation measures,</w:t>
      </w:r>
    </w:p>
    <w:p w14:paraId="2E85AB0B" w14:textId="77777777" w:rsidR="00B04290" w:rsidRPr="00FF4517" w:rsidRDefault="00B04290" w:rsidP="00B04290">
      <w:pPr>
        <w:pStyle w:val="SingleTxt"/>
        <w:numPr>
          <w:ilvl w:val="0"/>
          <w:numId w:val="42"/>
        </w:numPr>
        <w:spacing w:line="360" w:lineRule="auto"/>
        <w:ind w:right="0"/>
        <w:rPr>
          <w:rFonts w:asciiTheme="majorHAnsi" w:hAnsiTheme="majorHAnsi" w:cstheme="majorHAnsi"/>
          <w:sz w:val="22"/>
          <w:szCs w:val="22"/>
          <w:lang w:val="en-US"/>
        </w:rPr>
      </w:pPr>
      <w:r w:rsidRPr="00FF4517">
        <w:rPr>
          <w:rFonts w:asciiTheme="majorHAnsi" w:hAnsiTheme="majorHAnsi" w:cstheme="majorHAnsi"/>
          <w:sz w:val="22"/>
          <w:szCs w:val="22"/>
          <w:lang w:val="en-US"/>
        </w:rPr>
        <w:t>Seismic vulnerability assessments and mitigation measures,</w:t>
      </w:r>
    </w:p>
    <w:p w14:paraId="58FF813D" w14:textId="77777777" w:rsidR="00B04290" w:rsidRPr="00FF4517" w:rsidRDefault="00B04290" w:rsidP="00B04290">
      <w:pPr>
        <w:pStyle w:val="SingleTxt"/>
        <w:numPr>
          <w:ilvl w:val="0"/>
          <w:numId w:val="42"/>
        </w:numPr>
        <w:spacing w:line="360" w:lineRule="auto"/>
        <w:ind w:right="0"/>
        <w:rPr>
          <w:rFonts w:asciiTheme="majorHAnsi" w:hAnsiTheme="majorHAnsi" w:cstheme="majorHAnsi"/>
          <w:sz w:val="22"/>
          <w:szCs w:val="22"/>
          <w:lang w:val="en-US"/>
        </w:rPr>
      </w:pPr>
      <w:r w:rsidRPr="00FF4517">
        <w:rPr>
          <w:rFonts w:asciiTheme="majorHAnsi" w:hAnsiTheme="majorHAnsi" w:cstheme="majorHAnsi"/>
          <w:sz w:val="22"/>
          <w:szCs w:val="22"/>
          <w:lang w:val="en-US"/>
        </w:rPr>
        <w:t>Surge support,</w:t>
      </w:r>
    </w:p>
    <w:p w14:paraId="5D0DDC7F" w14:textId="77777777" w:rsidR="00B04290" w:rsidRPr="00FF4517" w:rsidRDefault="00B04290" w:rsidP="00B04290">
      <w:pPr>
        <w:pStyle w:val="SingleTxt"/>
        <w:numPr>
          <w:ilvl w:val="0"/>
          <w:numId w:val="42"/>
        </w:numPr>
        <w:spacing w:line="360" w:lineRule="auto"/>
        <w:ind w:right="0"/>
        <w:rPr>
          <w:rFonts w:asciiTheme="majorHAnsi" w:hAnsiTheme="majorHAnsi" w:cstheme="majorHAnsi"/>
          <w:sz w:val="22"/>
          <w:szCs w:val="22"/>
          <w:lang w:val="en-US"/>
        </w:rPr>
      </w:pPr>
      <w:r w:rsidRPr="00FF4517">
        <w:rPr>
          <w:rFonts w:asciiTheme="majorHAnsi" w:hAnsiTheme="majorHAnsi" w:cstheme="majorHAnsi"/>
          <w:sz w:val="22"/>
          <w:szCs w:val="22"/>
          <w:lang w:val="en-US"/>
        </w:rPr>
        <w:t>Security induced relocation.</w:t>
      </w:r>
    </w:p>
    <w:p w14:paraId="77D0DE15" w14:textId="77777777" w:rsidR="00B04290" w:rsidRPr="00FF4517" w:rsidRDefault="00B04290" w:rsidP="00B04290">
      <w:pPr>
        <w:pStyle w:val="SingleTxt"/>
        <w:spacing w:line="360" w:lineRule="auto"/>
        <w:ind w:left="0" w:right="0"/>
        <w:rPr>
          <w:rFonts w:asciiTheme="majorHAnsi" w:hAnsiTheme="majorHAnsi" w:cstheme="majorHAnsi"/>
          <w:sz w:val="22"/>
          <w:szCs w:val="22"/>
          <w:lang w:val="en-US"/>
        </w:rPr>
      </w:pPr>
      <w:r w:rsidRPr="00FF4517">
        <w:rPr>
          <w:rFonts w:asciiTheme="majorHAnsi" w:hAnsiTheme="majorHAnsi" w:cstheme="majorHAnsi"/>
          <w:sz w:val="22"/>
          <w:szCs w:val="22"/>
          <w:lang w:val="en-US"/>
        </w:rPr>
        <w:t xml:space="preserve">Guidance on what each of the preceding categories entails is included in the following paragraphs. The process for applying for UNMSM resources is described in </w:t>
      </w:r>
      <w:hyperlink w:anchor="Apply" w:history="1">
        <w:r w:rsidRPr="00FF4517">
          <w:rPr>
            <w:rStyle w:val="Hyperlink"/>
            <w:rFonts w:asciiTheme="majorHAnsi" w:hAnsiTheme="majorHAnsi" w:cstheme="majorHAnsi"/>
            <w:b/>
            <w:bCs/>
            <w:sz w:val="22"/>
            <w:szCs w:val="22"/>
          </w:rPr>
          <w:t>section IV, Applying for UNMSM resources.</w:t>
        </w:r>
      </w:hyperlink>
    </w:p>
    <w:p w14:paraId="22E4C5B0" w14:textId="77777777" w:rsidR="00B04290" w:rsidRPr="00FF4517" w:rsidRDefault="00B04290" w:rsidP="00B04290">
      <w:pPr>
        <w:pStyle w:val="ListParagraph"/>
        <w:numPr>
          <w:ilvl w:val="3"/>
          <w:numId w:val="41"/>
        </w:numPr>
        <w:tabs>
          <w:tab w:val="left" w:pos="-1530"/>
        </w:tabs>
        <w:spacing w:after="120" w:line="360" w:lineRule="auto"/>
        <w:ind w:left="540" w:right="-26"/>
        <w:rPr>
          <w:rFonts w:asciiTheme="majorHAnsi" w:hAnsiTheme="majorHAnsi" w:cstheme="majorHAnsi"/>
          <w:b/>
          <w:sz w:val="22"/>
          <w:szCs w:val="22"/>
        </w:rPr>
      </w:pPr>
      <w:r w:rsidRPr="00FF4517">
        <w:rPr>
          <w:rFonts w:asciiTheme="majorHAnsi" w:hAnsiTheme="majorHAnsi" w:cstheme="majorHAnsi"/>
          <w:b/>
          <w:sz w:val="22"/>
          <w:szCs w:val="22"/>
        </w:rPr>
        <w:t xml:space="preserve">Resources available for </w:t>
      </w:r>
      <w:r w:rsidRPr="00FF4517">
        <w:rPr>
          <w:rFonts w:asciiTheme="majorHAnsi" w:hAnsiTheme="majorHAnsi" w:cstheme="majorHAnsi"/>
          <w:b/>
          <w:bCs/>
          <w:sz w:val="22"/>
          <w:szCs w:val="22"/>
        </w:rPr>
        <w:t>implementation of security risk management (SRM) measures (technical equipment support, security infrastructure/retrofitting)</w:t>
      </w:r>
    </w:p>
    <w:p w14:paraId="3D80C6BB" w14:textId="1895ECB0" w:rsidR="00B04290" w:rsidRPr="00FF4517" w:rsidRDefault="00B04290" w:rsidP="007519E4">
      <w:pPr>
        <w:pStyle w:val="PlainText"/>
        <w:spacing w:after="120" w:line="360" w:lineRule="auto"/>
        <w:jc w:val="both"/>
        <w:rPr>
          <w:rFonts w:asciiTheme="majorHAnsi" w:hAnsiTheme="majorHAnsi" w:cstheme="majorHAnsi"/>
          <w:sz w:val="22"/>
          <w:szCs w:val="22"/>
          <w:lang w:val="en-US"/>
        </w:rPr>
      </w:pPr>
      <w:r w:rsidRPr="00FF4517">
        <w:rPr>
          <w:rFonts w:asciiTheme="majorHAnsi" w:hAnsiTheme="majorHAnsi" w:cstheme="majorHAnsi"/>
          <w:sz w:val="22"/>
          <w:szCs w:val="22"/>
          <w:lang w:val="en-US"/>
        </w:rPr>
        <w:t xml:space="preserve">Compliance with measures identified as part of the SRM process should be maintained by offices with their own resources where possible. UNDP offices that do not have sufficient resources to fund activities aimed at enhancing security compliance or reinforce premises in the current location may request such funds from the centrally available UNMSM resources managed by the Security Office. UNMSM resources can be issued as funding or as contributions from a stock of security items prepositioned by the Security Office. The latter includes items such as satellite communications equipment and </w:t>
      </w:r>
      <w:proofErr w:type="spellStart"/>
      <w:r w:rsidRPr="00FF4517">
        <w:rPr>
          <w:rFonts w:asciiTheme="majorHAnsi" w:hAnsiTheme="majorHAnsi" w:cstheme="majorHAnsi"/>
          <w:sz w:val="22"/>
          <w:szCs w:val="22"/>
          <w:lang w:val="en-US"/>
        </w:rPr>
        <w:t>armo</w:t>
      </w:r>
      <w:r w:rsidR="007519E4">
        <w:rPr>
          <w:rFonts w:asciiTheme="majorHAnsi" w:hAnsiTheme="majorHAnsi" w:cstheme="majorHAnsi"/>
          <w:sz w:val="22"/>
          <w:szCs w:val="22"/>
          <w:lang w:val="en-US"/>
        </w:rPr>
        <w:t>u</w:t>
      </w:r>
      <w:r w:rsidRPr="00FF4517">
        <w:rPr>
          <w:rFonts w:asciiTheme="majorHAnsi" w:hAnsiTheme="majorHAnsi" w:cstheme="majorHAnsi"/>
          <w:sz w:val="22"/>
          <w:szCs w:val="22"/>
          <w:lang w:val="en-US"/>
        </w:rPr>
        <w:t>red</w:t>
      </w:r>
      <w:proofErr w:type="spellEnd"/>
      <w:r w:rsidRPr="00FF4517">
        <w:rPr>
          <w:rFonts w:asciiTheme="majorHAnsi" w:hAnsiTheme="majorHAnsi" w:cstheme="majorHAnsi"/>
          <w:sz w:val="22"/>
          <w:szCs w:val="22"/>
          <w:lang w:val="en-US"/>
        </w:rPr>
        <w:t xml:space="preserve"> vehicles. </w:t>
      </w:r>
    </w:p>
    <w:p w14:paraId="1054CCF4" w14:textId="77777777" w:rsidR="00B04290" w:rsidRPr="00FF4517" w:rsidRDefault="00B04290" w:rsidP="00B04290">
      <w:pPr>
        <w:pStyle w:val="PlainText"/>
        <w:spacing w:after="120" w:line="360" w:lineRule="auto"/>
        <w:rPr>
          <w:rFonts w:asciiTheme="majorHAnsi" w:hAnsiTheme="majorHAnsi" w:cstheme="majorHAnsi"/>
          <w:sz w:val="22"/>
          <w:szCs w:val="22"/>
        </w:rPr>
      </w:pPr>
      <w:r w:rsidRPr="00FF4517">
        <w:rPr>
          <w:rFonts w:asciiTheme="majorHAnsi" w:hAnsiTheme="majorHAnsi" w:cstheme="majorHAnsi"/>
          <w:spacing w:val="4"/>
          <w:w w:val="103"/>
          <w:kern w:val="14"/>
          <w:sz w:val="22"/>
          <w:szCs w:val="22"/>
        </w:rPr>
        <w:t>The following concepts apply</w:t>
      </w:r>
      <w:r w:rsidRPr="00FF4517">
        <w:rPr>
          <w:rFonts w:asciiTheme="majorHAnsi" w:hAnsiTheme="majorHAnsi" w:cstheme="majorHAnsi"/>
          <w:spacing w:val="4"/>
          <w:w w:val="103"/>
          <w:kern w:val="14"/>
          <w:sz w:val="22"/>
          <w:szCs w:val="22"/>
          <w:lang w:val="en-US"/>
        </w:rPr>
        <w:t xml:space="preserve"> for UNMSM resources</w:t>
      </w:r>
      <w:r w:rsidRPr="00FF4517">
        <w:rPr>
          <w:rFonts w:asciiTheme="majorHAnsi" w:hAnsiTheme="majorHAnsi" w:cstheme="majorHAnsi"/>
          <w:spacing w:val="4"/>
          <w:w w:val="103"/>
          <w:kern w:val="14"/>
          <w:sz w:val="22"/>
          <w:szCs w:val="22"/>
        </w:rPr>
        <w:t>:</w:t>
      </w:r>
    </w:p>
    <w:p w14:paraId="20475807" w14:textId="77777777" w:rsidR="00B04290" w:rsidRPr="00FF4517" w:rsidRDefault="00B04290" w:rsidP="00B04290">
      <w:pPr>
        <w:pStyle w:val="ListParagraph"/>
        <w:numPr>
          <w:ilvl w:val="0"/>
          <w:numId w:val="44"/>
        </w:numPr>
        <w:tabs>
          <w:tab w:val="left" w:pos="-1530"/>
        </w:tabs>
        <w:spacing w:after="120" w:line="360" w:lineRule="auto"/>
        <w:ind w:right="-26"/>
        <w:jc w:val="both"/>
        <w:rPr>
          <w:rFonts w:asciiTheme="majorHAnsi" w:hAnsiTheme="majorHAnsi" w:cstheme="majorHAnsi"/>
          <w:sz w:val="22"/>
          <w:szCs w:val="22"/>
        </w:rPr>
      </w:pPr>
      <w:r w:rsidRPr="00FF4517">
        <w:rPr>
          <w:rFonts w:asciiTheme="majorHAnsi" w:hAnsiTheme="majorHAnsi" w:cstheme="majorHAnsi"/>
          <w:spacing w:val="4"/>
          <w:w w:val="103"/>
          <w:kern w:val="14"/>
          <w:sz w:val="22"/>
          <w:szCs w:val="22"/>
        </w:rPr>
        <w:t>UNMSM resources can be requested to fund</w:t>
      </w:r>
      <w:r w:rsidRPr="00FF4517">
        <w:rPr>
          <w:rFonts w:asciiTheme="majorHAnsi" w:hAnsiTheme="majorHAnsi" w:cstheme="majorHAnsi"/>
          <w:b/>
          <w:spacing w:val="4"/>
          <w:w w:val="103"/>
          <w:kern w:val="14"/>
          <w:sz w:val="22"/>
          <w:szCs w:val="22"/>
        </w:rPr>
        <w:t xml:space="preserve"> security upgrades</w:t>
      </w:r>
      <w:r w:rsidRPr="00FF4517">
        <w:rPr>
          <w:rFonts w:asciiTheme="majorHAnsi" w:hAnsiTheme="majorHAnsi" w:cstheme="majorHAnsi"/>
          <w:bCs/>
          <w:spacing w:val="4"/>
          <w:w w:val="103"/>
          <w:kern w:val="14"/>
          <w:sz w:val="22"/>
          <w:szCs w:val="22"/>
        </w:rPr>
        <w:t xml:space="preserve"> identified through the SRM process. </w:t>
      </w:r>
    </w:p>
    <w:p w14:paraId="6C08BE89" w14:textId="77777777" w:rsidR="00B04290" w:rsidRPr="00FF4517" w:rsidRDefault="00B04290" w:rsidP="00B04290">
      <w:pPr>
        <w:pStyle w:val="ListParagraph"/>
        <w:numPr>
          <w:ilvl w:val="0"/>
          <w:numId w:val="44"/>
        </w:numPr>
        <w:tabs>
          <w:tab w:val="left" w:pos="-1530"/>
        </w:tabs>
        <w:spacing w:after="120" w:line="360" w:lineRule="auto"/>
        <w:ind w:right="-26"/>
        <w:jc w:val="both"/>
        <w:rPr>
          <w:rFonts w:asciiTheme="majorHAnsi" w:hAnsiTheme="majorHAnsi" w:cstheme="majorHAnsi"/>
          <w:sz w:val="22"/>
          <w:szCs w:val="22"/>
        </w:rPr>
      </w:pPr>
      <w:r w:rsidRPr="00FF4517">
        <w:rPr>
          <w:rFonts w:asciiTheme="majorHAnsi" w:hAnsiTheme="majorHAnsi" w:cstheme="majorHAnsi"/>
          <w:sz w:val="22"/>
          <w:szCs w:val="22"/>
        </w:rPr>
        <w:t>Limited UNMSM funding is available to cover future</w:t>
      </w:r>
      <w:r w:rsidRPr="00FF4517">
        <w:rPr>
          <w:rFonts w:asciiTheme="majorHAnsi" w:hAnsiTheme="majorHAnsi" w:cstheme="majorHAnsi"/>
          <w:bCs/>
          <w:spacing w:val="4"/>
          <w:w w:val="103"/>
          <w:kern w:val="14"/>
          <w:sz w:val="22"/>
          <w:szCs w:val="22"/>
        </w:rPr>
        <w:t xml:space="preserve"> costs related to the maintenance and upkeep of any security upgrades previously funded through UNMSM, including </w:t>
      </w:r>
      <w:r w:rsidRPr="00FF4517">
        <w:rPr>
          <w:rFonts w:asciiTheme="majorHAnsi" w:hAnsiTheme="majorHAnsi" w:cstheme="majorHAnsi"/>
          <w:sz w:val="22"/>
          <w:szCs w:val="22"/>
        </w:rPr>
        <w:t xml:space="preserve">any subscription costs related to security </w:t>
      </w:r>
      <w:r w:rsidRPr="00FF4517">
        <w:rPr>
          <w:rFonts w:asciiTheme="majorHAnsi" w:hAnsiTheme="majorHAnsi" w:cstheme="majorHAnsi"/>
          <w:sz w:val="22"/>
          <w:szCs w:val="22"/>
        </w:rPr>
        <w:lastRenderedPageBreak/>
        <w:t xml:space="preserve">equipment (e.g. radio licenses or subscription fees for communications equipment). It is generally expected that these costs will be mainstreamed into the budgets of the respective office where the measures are being implemented. Any limited funding which may be available in this regard is covered below in </w:t>
      </w:r>
      <w:r w:rsidRPr="00FF4517">
        <w:rPr>
          <w:rFonts w:asciiTheme="majorHAnsi" w:hAnsiTheme="majorHAnsi" w:cstheme="majorHAnsi"/>
          <w:b/>
          <w:bCs/>
          <w:sz w:val="22"/>
          <w:szCs w:val="22"/>
        </w:rPr>
        <w:t>category III.2,</w:t>
      </w:r>
      <w:r w:rsidRPr="00FF4517">
        <w:rPr>
          <w:rFonts w:asciiTheme="majorHAnsi" w:hAnsiTheme="majorHAnsi" w:cstheme="majorHAnsi"/>
          <w:sz w:val="22"/>
          <w:szCs w:val="22"/>
        </w:rPr>
        <w:t xml:space="preserve"> </w:t>
      </w:r>
      <w:r w:rsidRPr="00FF4517">
        <w:rPr>
          <w:rFonts w:asciiTheme="majorHAnsi" w:hAnsiTheme="majorHAnsi" w:cstheme="majorHAnsi"/>
          <w:b/>
          <w:bCs/>
          <w:sz w:val="22"/>
          <w:szCs w:val="22"/>
        </w:rPr>
        <w:t>exceptional recurring costs.</w:t>
      </w:r>
    </w:p>
    <w:p w14:paraId="26827E3D" w14:textId="77777777" w:rsidR="00B04290" w:rsidRPr="00FF4517" w:rsidRDefault="00B04290" w:rsidP="00B04290">
      <w:pPr>
        <w:pStyle w:val="ListParagraph"/>
        <w:numPr>
          <w:ilvl w:val="0"/>
          <w:numId w:val="44"/>
        </w:numPr>
        <w:tabs>
          <w:tab w:val="left" w:pos="-1530"/>
        </w:tabs>
        <w:spacing w:after="120" w:line="360" w:lineRule="auto"/>
        <w:ind w:right="-26"/>
        <w:jc w:val="both"/>
        <w:rPr>
          <w:rFonts w:asciiTheme="majorHAnsi" w:hAnsiTheme="majorHAnsi" w:cstheme="majorHAnsi"/>
          <w:sz w:val="22"/>
          <w:szCs w:val="22"/>
        </w:rPr>
      </w:pPr>
      <w:r w:rsidRPr="00FF4517">
        <w:rPr>
          <w:rFonts w:asciiTheme="majorHAnsi" w:hAnsiTheme="majorHAnsi" w:cstheme="majorHAnsi"/>
          <w:sz w:val="22"/>
          <w:szCs w:val="22"/>
        </w:rPr>
        <w:t xml:space="preserve">The Security Office will favorably consider  requests by offices entitled to funding to provide a safe and secure working environment for disabled staff and visitors including through the provision of funds for signage and for the evacuation of disabled personnel and visitors. </w:t>
      </w:r>
    </w:p>
    <w:p w14:paraId="7731B65C" w14:textId="77777777" w:rsidR="00B04290" w:rsidRPr="00FF4517" w:rsidRDefault="00B04290" w:rsidP="00B04290">
      <w:pPr>
        <w:pStyle w:val="ListParagraph"/>
        <w:numPr>
          <w:ilvl w:val="0"/>
          <w:numId w:val="44"/>
        </w:numPr>
        <w:tabs>
          <w:tab w:val="left" w:pos="-1530"/>
        </w:tabs>
        <w:spacing w:after="120" w:line="360" w:lineRule="auto"/>
        <w:ind w:right="-26"/>
        <w:jc w:val="both"/>
        <w:rPr>
          <w:rFonts w:asciiTheme="majorHAnsi" w:hAnsiTheme="majorHAnsi" w:cstheme="majorHAnsi"/>
          <w:sz w:val="22"/>
          <w:szCs w:val="22"/>
        </w:rPr>
      </w:pPr>
      <w:r w:rsidRPr="00FF4517">
        <w:rPr>
          <w:rFonts w:asciiTheme="majorHAnsi" w:hAnsiTheme="majorHAnsi" w:cstheme="majorHAnsi"/>
          <w:sz w:val="22"/>
          <w:szCs w:val="22"/>
        </w:rPr>
        <w:t>UNDP security professionals will assist UNDP country offices in implementing the related work plan.</w:t>
      </w:r>
    </w:p>
    <w:p w14:paraId="492DDD35" w14:textId="1480F621" w:rsidR="00B04290" w:rsidRPr="00FF4517" w:rsidRDefault="00B04290" w:rsidP="007519E4">
      <w:pPr>
        <w:pStyle w:val="PlainText"/>
        <w:spacing w:after="120" w:line="360" w:lineRule="auto"/>
        <w:jc w:val="both"/>
        <w:rPr>
          <w:rFonts w:asciiTheme="majorHAnsi" w:hAnsiTheme="majorHAnsi" w:cstheme="majorHAnsi"/>
          <w:sz w:val="22"/>
          <w:szCs w:val="22"/>
          <w:lang w:val="en-US"/>
        </w:rPr>
      </w:pPr>
      <w:r w:rsidRPr="00FF4517">
        <w:rPr>
          <w:rFonts w:asciiTheme="majorHAnsi" w:hAnsiTheme="majorHAnsi" w:cstheme="majorHAnsi"/>
          <w:sz w:val="22"/>
          <w:szCs w:val="22"/>
          <w:lang w:val="en-US"/>
        </w:rPr>
        <w:t xml:space="preserve">It should be </w:t>
      </w:r>
      <w:r w:rsidR="000212BB" w:rsidRPr="00FF4517">
        <w:rPr>
          <w:rFonts w:asciiTheme="majorHAnsi" w:hAnsiTheme="majorHAnsi" w:cstheme="majorHAnsi"/>
          <w:sz w:val="22"/>
          <w:szCs w:val="22"/>
          <w:lang w:val="en-US"/>
        </w:rPr>
        <w:t>emphasized</w:t>
      </w:r>
      <w:r w:rsidRPr="00FF4517">
        <w:rPr>
          <w:rFonts w:asciiTheme="majorHAnsi" w:hAnsiTheme="majorHAnsi" w:cstheme="majorHAnsi"/>
          <w:sz w:val="22"/>
          <w:szCs w:val="22"/>
          <w:lang w:val="en-US"/>
        </w:rPr>
        <w:t xml:space="preserve"> that the UNMSM funding mechanism is used to support UNDP country main offices and other eligible offices in both headquarter locations and the field.  Separate programme/project offices are not eligible for UNMSM resources, and should instead mainstream security requirements into the planning phase of all programmes and projects.  In instances where project offices are collocated with offices eligible for UNMSM funding, UNMSM will not fund security measures which can be directly attributed to the project office, e.g. radios to be issued to project personnel. However, UNMSM could, at the discretion of the Security Office, cover security measures that should be implemented regardless of the presence of project office, e.g. perimeter wall for the compound. </w:t>
      </w:r>
    </w:p>
    <w:p w14:paraId="7F8C28C5" w14:textId="77777777" w:rsidR="00B04290" w:rsidRPr="00FF4517" w:rsidRDefault="00B04290" w:rsidP="007519E4">
      <w:pPr>
        <w:tabs>
          <w:tab w:val="left" w:pos="-1530"/>
        </w:tabs>
        <w:spacing w:after="120" w:line="360" w:lineRule="auto"/>
        <w:ind w:right="-26"/>
        <w:jc w:val="both"/>
        <w:rPr>
          <w:rFonts w:asciiTheme="majorHAnsi" w:hAnsiTheme="majorHAnsi" w:cstheme="majorHAnsi"/>
          <w:sz w:val="22"/>
          <w:szCs w:val="22"/>
        </w:rPr>
      </w:pPr>
      <w:r w:rsidRPr="00FF4517">
        <w:rPr>
          <w:rFonts w:asciiTheme="majorHAnsi" w:hAnsiTheme="majorHAnsi" w:cstheme="majorHAnsi"/>
          <w:sz w:val="22"/>
          <w:szCs w:val="22"/>
        </w:rPr>
        <w:t xml:space="preserve">For common premises shared with other UN system organizations, SRM activities related to </w:t>
      </w:r>
      <w:r w:rsidRPr="00FF4517">
        <w:rPr>
          <w:rFonts w:asciiTheme="majorHAnsi" w:hAnsiTheme="majorHAnsi" w:cstheme="majorHAnsi"/>
          <w:sz w:val="22"/>
          <w:szCs w:val="22"/>
          <w:u w:val="single"/>
        </w:rPr>
        <w:t>all</w:t>
      </w:r>
      <w:r w:rsidRPr="00FF4517">
        <w:rPr>
          <w:rFonts w:asciiTheme="majorHAnsi" w:hAnsiTheme="majorHAnsi" w:cstheme="majorHAnsi"/>
          <w:sz w:val="22"/>
          <w:szCs w:val="22"/>
        </w:rPr>
        <w:t xml:space="preserve"> UNSMS Organizations personnel should be cost-shared locally. The UNMSM funding mechanism is available to support the UNDP’s share in the cost-sharing arrangements. </w:t>
      </w:r>
    </w:p>
    <w:p w14:paraId="3F050AB2" w14:textId="77777777" w:rsidR="00B04290" w:rsidRPr="00FF4517" w:rsidRDefault="00B04290" w:rsidP="00B04290">
      <w:pPr>
        <w:pStyle w:val="ListParagraph"/>
        <w:numPr>
          <w:ilvl w:val="3"/>
          <w:numId w:val="41"/>
        </w:numPr>
        <w:tabs>
          <w:tab w:val="left" w:pos="-1530"/>
        </w:tabs>
        <w:spacing w:before="360" w:after="120" w:line="360" w:lineRule="auto"/>
        <w:ind w:left="547" w:right="-29"/>
        <w:rPr>
          <w:rFonts w:asciiTheme="majorHAnsi" w:hAnsiTheme="majorHAnsi" w:cstheme="majorHAnsi"/>
          <w:b/>
          <w:sz w:val="22"/>
          <w:szCs w:val="22"/>
        </w:rPr>
      </w:pPr>
      <w:r w:rsidRPr="00FF4517">
        <w:rPr>
          <w:rFonts w:asciiTheme="majorHAnsi" w:hAnsiTheme="majorHAnsi" w:cstheme="majorHAnsi"/>
          <w:b/>
          <w:bCs/>
          <w:sz w:val="22"/>
          <w:szCs w:val="22"/>
        </w:rPr>
        <w:t>Exceptional recurring security costs</w:t>
      </w:r>
    </w:p>
    <w:p w14:paraId="3F7835B1" w14:textId="77777777" w:rsidR="00B04290" w:rsidRPr="00FF4517" w:rsidRDefault="00B04290" w:rsidP="00B04290">
      <w:pPr>
        <w:tabs>
          <w:tab w:val="left" w:pos="-1530"/>
        </w:tabs>
        <w:spacing w:after="120" w:line="360" w:lineRule="auto"/>
        <w:ind w:right="-26"/>
        <w:jc w:val="both"/>
        <w:rPr>
          <w:rFonts w:asciiTheme="majorHAnsi" w:hAnsiTheme="majorHAnsi" w:cstheme="majorHAnsi"/>
          <w:b/>
          <w:sz w:val="22"/>
          <w:szCs w:val="22"/>
          <w:u w:val="single"/>
        </w:rPr>
      </w:pPr>
      <w:r w:rsidRPr="00FF4517">
        <w:rPr>
          <w:rFonts w:asciiTheme="majorHAnsi" w:hAnsiTheme="majorHAnsi" w:cstheme="majorHAnsi"/>
          <w:sz w:val="22"/>
          <w:szCs w:val="22"/>
        </w:rPr>
        <w:t>Limited UNMSM funding is available to cover future</w:t>
      </w:r>
      <w:r w:rsidRPr="00FF4517">
        <w:rPr>
          <w:rFonts w:asciiTheme="majorHAnsi" w:hAnsiTheme="majorHAnsi" w:cstheme="majorHAnsi"/>
          <w:bCs/>
          <w:spacing w:val="4"/>
          <w:w w:val="103"/>
          <w:kern w:val="14"/>
          <w:sz w:val="22"/>
          <w:szCs w:val="22"/>
        </w:rPr>
        <w:t xml:space="preserve"> costs related to the maintenance and upkeep of any security upgrades previously funded through UNMSM, including </w:t>
      </w:r>
      <w:r w:rsidRPr="00FF4517">
        <w:rPr>
          <w:rFonts w:asciiTheme="majorHAnsi" w:hAnsiTheme="majorHAnsi" w:cstheme="majorHAnsi"/>
          <w:sz w:val="22"/>
          <w:szCs w:val="22"/>
        </w:rPr>
        <w:t>any subscription costs related to security equipment (e.g. radio licenses or subscription fees for communications equipment). It is generally expected that these costs will be mainstreamed into the budgets of the respective office where the measures are being implemented.</w:t>
      </w:r>
      <w:r w:rsidRPr="00FF4517">
        <w:rPr>
          <w:rFonts w:asciiTheme="majorHAnsi" w:hAnsiTheme="majorHAnsi" w:cstheme="majorHAnsi"/>
          <w:bCs/>
          <w:sz w:val="22"/>
          <w:szCs w:val="22"/>
        </w:rPr>
        <w:t xml:space="preserve"> </w:t>
      </w:r>
      <w:r w:rsidRPr="00FF4517">
        <w:rPr>
          <w:rFonts w:asciiTheme="majorHAnsi" w:hAnsiTheme="majorHAnsi" w:cstheme="majorHAnsi"/>
          <w:sz w:val="22"/>
          <w:szCs w:val="22"/>
        </w:rPr>
        <w:t>The available</w:t>
      </w:r>
      <w:r w:rsidRPr="00FF4517">
        <w:rPr>
          <w:rFonts w:asciiTheme="majorHAnsi" w:hAnsiTheme="majorHAnsi" w:cstheme="majorHAnsi"/>
          <w:bCs/>
          <w:sz w:val="22"/>
          <w:szCs w:val="22"/>
        </w:rPr>
        <w:t xml:space="preserve"> UNMSM</w:t>
      </w:r>
      <w:r w:rsidRPr="00FF4517">
        <w:rPr>
          <w:rFonts w:asciiTheme="majorHAnsi" w:hAnsiTheme="majorHAnsi" w:cstheme="majorHAnsi"/>
          <w:sz w:val="22"/>
          <w:szCs w:val="22"/>
        </w:rPr>
        <w:t xml:space="preserve"> resources are not sufficient to cover all requirements and will generally only be </w:t>
      </w:r>
      <w:r w:rsidRPr="00FF4517">
        <w:rPr>
          <w:rFonts w:asciiTheme="majorHAnsi" w:hAnsiTheme="majorHAnsi" w:cstheme="majorHAnsi"/>
          <w:sz w:val="22"/>
          <w:szCs w:val="22"/>
        </w:rPr>
        <w:lastRenderedPageBreak/>
        <w:t>considered with strong justification and for specific circumstances. Due to limited funding, generally a maximum of $10,000 will be approved annually</w:t>
      </w:r>
      <w:r w:rsidRPr="00FF4517">
        <w:rPr>
          <w:rFonts w:asciiTheme="majorHAnsi" w:hAnsiTheme="majorHAnsi" w:cstheme="majorHAnsi"/>
          <w:bCs/>
          <w:sz w:val="22"/>
          <w:szCs w:val="22"/>
        </w:rPr>
        <w:t>.</w:t>
      </w:r>
      <w:r w:rsidRPr="00FF4517">
        <w:rPr>
          <w:rFonts w:asciiTheme="majorHAnsi" w:hAnsiTheme="majorHAnsi" w:cstheme="majorHAnsi"/>
          <w:sz w:val="22"/>
          <w:szCs w:val="22"/>
        </w:rPr>
        <w:t xml:space="preserve"> It is important that the requesting office presents the actual requirement, rather than requests $ 10,000 only. Requests for recurrent security needs of UNDP or towards UNDP’s share in the common locally shared security budget </w:t>
      </w:r>
      <w:r w:rsidRPr="00FF4517">
        <w:rPr>
          <w:rFonts w:asciiTheme="majorHAnsi" w:hAnsiTheme="majorHAnsi" w:cstheme="majorHAnsi"/>
          <w:bCs/>
          <w:sz w:val="22"/>
          <w:szCs w:val="22"/>
        </w:rPr>
        <w:t xml:space="preserve">can </w:t>
      </w:r>
      <w:r w:rsidRPr="00FF4517">
        <w:rPr>
          <w:rFonts w:asciiTheme="majorHAnsi" w:hAnsiTheme="majorHAnsi" w:cstheme="majorHAnsi"/>
          <w:sz w:val="22"/>
          <w:szCs w:val="22"/>
        </w:rPr>
        <w:t xml:space="preserve">be included </w:t>
      </w:r>
      <w:r w:rsidRPr="00FF4517">
        <w:rPr>
          <w:rFonts w:asciiTheme="majorHAnsi" w:hAnsiTheme="majorHAnsi" w:cstheme="majorHAnsi"/>
          <w:bCs/>
          <w:sz w:val="22"/>
          <w:szCs w:val="22"/>
        </w:rPr>
        <w:t>in this category</w:t>
      </w:r>
      <w:r w:rsidRPr="00FF4517">
        <w:rPr>
          <w:rFonts w:asciiTheme="majorHAnsi" w:hAnsiTheme="majorHAnsi" w:cstheme="majorHAnsi"/>
          <w:sz w:val="22"/>
          <w:szCs w:val="22"/>
        </w:rPr>
        <w:t xml:space="preserve">. </w:t>
      </w:r>
    </w:p>
    <w:p w14:paraId="01B097C7" w14:textId="77777777" w:rsidR="00B04290" w:rsidRPr="00FF4517" w:rsidRDefault="00B04290" w:rsidP="00B04290">
      <w:pPr>
        <w:spacing w:before="360" w:after="120" w:line="360" w:lineRule="auto"/>
        <w:ind w:right="-29"/>
        <w:rPr>
          <w:rFonts w:asciiTheme="majorHAnsi" w:hAnsiTheme="majorHAnsi" w:cstheme="majorHAnsi"/>
          <w:b/>
          <w:bCs/>
          <w:sz w:val="22"/>
          <w:szCs w:val="22"/>
        </w:rPr>
      </w:pPr>
      <w:r w:rsidRPr="00FF4517">
        <w:rPr>
          <w:rFonts w:asciiTheme="majorHAnsi" w:hAnsiTheme="majorHAnsi" w:cstheme="majorHAnsi"/>
          <w:b/>
          <w:bCs/>
          <w:sz w:val="22"/>
          <w:szCs w:val="22"/>
        </w:rPr>
        <w:t xml:space="preserve">     III.3   Security related training</w:t>
      </w:r>
    </w:p>
    <w:p w14:paraId="6EBB63EA" w14:textId="77777777" w:rsidR="00B04290" w:rsidRPr="00FF4517" w:rsidRDefault="00B04290" w:rsidP="007519E4">
      <w:pPr>
        <w:spacing w:before="360" w:after="120" w:line="360" w:lineRule="auto"/>
        <w:ind w:right="-29"/>
        <w:jc w:val="both"/>
        <w:rPr>
          <w:rFonts w:asciiTheme="majorHAnsi" w:hAnsiTheme="majorHAnsi" w:cstheme="majorHAnsi"/>
          <w:sz w:val="22"/>
          <w:szCs w:val="22"/>
        </w:rPr>
      </w:pPr>
      <w:r w:rsidRPr="00FF4517">
        <w:rPr>
          <w:rFonts w:asciiTheme="majorHAnsi" w:hAnsiTheme="majorHAnsi" w:cstheme="majorHAnsi"/>
          <w:sz w:val="22"/>
          <w:szCs w:val="22"/>
        </w:rPr>
        <w:t>In some duty stations, the SRM may stipulate that specific security training such as SSAFE, IFAK is a mandatory requirement for UN personnel working at the duty station. In most circumstances, where UNDSS have mandated a specific training, they should also be responsible for the delivery of that training at either no cost or minimum cost to the UNSMS Organizations. In the case of SSAFE and this should be funded by the respective offices at the country level. In exceptional circumstances, where external providers are justified to provide training (defensive driving, armored vehicle courses, first aid etc.) UNMSM funding can be made available on a case by case basis.</w:t>
      </w:r>
    </w:p>
    <w:p w14:paraId="25F4F1D0" w14:textId="77777777" w:rsidR="00B04290" w:rsidRPr="00FF4517" w:rsidRDefault="00B04290" w:rsidP="00B04290">
      <w:pPr>
        <w:spacing w:before="360" w:after="120" w:line="360" w:lineRule="auto"/>
        <w:ind w:right="-29"/>
        <w:rPr>
          <w:rFonts w:asciiTheme="majorHAnsi" w:hAnsiTheme="majorHAnsi" w:cstheme="majorHAnsi"/>
          <w:b/>
          <w:bCs/>
          <w:sz w:val="22"/>
          <w:szCs w:val="22"/>
        </w:rPr>
      </w:pPr>
      <w:r w:rsidRPr="00FF4517">
        <w:rPr>
          <w:rFonts w:asciiTheme="majorHAnsi" w:hAnsiTheme="majorHAnsi" w:cstheme="majorHAnsi"/>
          <w:b/>
          <w:bCs/>
          <w:sz w:val="22"/>
          <w:szCs w:val="22"/>
        </w:rPr>
        <w:t xml:space="preserve">    III.4   Blast Vulnerability Assessment and Mitigation</w:t>
      </w:r>
    </w:p>
    <w:p w14:paraId="40ED6F09" w14:textId="77777777" w:rsidR="00B04290" w:rsidRPr="00FF4517" w:rsidRDefault="00B04290" w:rsidP="00B04290">
      <w:pPr>
        <w:spacing w:after="120" w:line="360" w:lineRule="auto"/>
        <w:jc w:val="both"/>
        <w:rPr>
          <w:rFonts w:asciiTheme="majorHAnsi" w:hAnsiTheme="majorHAnsi" w:cstheme="majorHAnsi"/>
          <w:sz w:val="22"/>
          <w:szCs w:val="22"/>
        </w:rPr>
      </w:pPr>
      <w:r w:rsidRPr="00FF4517">
        <w:rPr>
          <w:rFonts w:asciiTheme="majorHAnsi" w:hAnsiTheme="majorHAnsi" w:cstheme="majorHAnsi"/>
          <w:sz w:val="22"/>
          <w:szCs w:val="22"/>
        </w:rPr>
        <w:t>In cases where the SRM indicates the need for a blast vulnerability assessment of UNDP premises, UNMSM funding can be made available to retain the services of a competent contractor to perform the assessment and to design mitigation measures for any vulnerabilities identified through the assessment. TORs with specifications to be used in the assessment are available through the Security Office.</w:t>
      </w:r>
    </w:p>
    <w:p w14:paraId="6FC98821" w14:textId="77777777" w:rsidR="00B04290" w:rsidRPr="00FF4517" w:rsidRDefault="00B04290" w:rsidP="00B04290">
      <w:pPr>
        <w:spacing w:after="120" w:line="360" w:lineRule="auto"/>
        <w:jc w:val="both"/>
        <w:rPr>
          <w:rFonts w:asciiTheme="majorHAnsi" w:hAnsiTheme="majorHAnsi" w:cstheme="majorHAnsi"/>
          <w:sz w:val="22"/>
          <w:szCs w:val="22"/>
        </w:rPr>
      </w:pPr>
      <w:r w:rsidRPr="00FF4517">
        <w:rPr>
          <w:rFonts w:asciiTheme="majorHAnsi" w:hAnsiTheme="majorHAnsi" w:cstheme="majorHAnsi"/>
          <w:sz w:val="22"/>
          <w:szCs w:val="22"/>
        </w:rPr>
        <w:t xml:space="preserve">Country offices are expected to negotiate cost-sharing arrangements with other UNSMS Organizations that would benefit from this service. Income received from other UNSMS Organizations should be applied to fund implementation of blast mitigation measures. </w:t>
      </w:r>
    </w:p>
    <w:p w14:paraId="21784E5B" w14:textId="77777777" w:rsidR="00B04290" w:rsidRPr="00FF4517" w:rsidRDefault="00B04290" w:rsidP="00B04290">
      <w:pPr>
        <w:tabs>
          <w:tab w:val="left" w:pos="-1530"/>
        </w:tabs>
        <w:spacing w:after="120" w:line="360" w:lineRule="auto"/>
        <w:ind w:right="-26"/>
        <w:jc w:val="both"/>
        <w:rPr>
          <w:rFonts w:asciiTheme="majorHAnsi" w:hAnsiTheme="majorHAnsi" w:cstheme="majorHAnsi"/>
          <w:sz w:val="22"/>
          <w:szCs w:val="22"/>
        </w:rPr>
      </w:pPr>
      <w:r w:rsidRPr="00FF4517">
        <w:rPr>
          <w:rFonts w:asciiTheme="majorHAnsi" w:hAnsiTheme="majorHAnsi" w:cstheme="majorHAnsi"/>
          <w:sz w:val="22"/>
          <w:szCs w:val="22"/>
        </w:rPr>
        <w:t>Exceptional funding support for implementation of blast mitigation measures as recommended in the blast vulnerability assessment could be considered should sufficient funds be available in the Security Reserve. Due to the limited amount of the reserved funds and substantial funding requirements, each release of funds will be prioritized and approved by the Security Office Director.</w:t>
      </w:r>
    </w:p>
    <w:p w14:paraId="1F62AFFC" w14:textId="77777777" w:rsidR="00B04290" w:rsidRPr="00FF4517" w:rsidRDefault="00B04290" w:rsidP="00B04290">
      <w:pPr>
        <w:spacing w:before="360" w:after="120" w:line="360" w:lineRule="auto"/>
        <w:ind w:right="-29"/>
        <w:rPr>
          <w:rFonts w:asciiTheme="majorHAnsi" w:hAnsiTheme="majorHAnsi" w:cstheme="majorHAnsi"/>
          <w:b/>
          <w:bCs/>
          <w:sz w:val="22"/>
          <w:szCs w:val="22"/>
        </w:rPr>
      </w:pPr>
      <w:r w:rsidRPr="00FF4517">
        <w:rPr>
          <w:rFonts w:asciiTheme="majorHAnsi" w:hAnsiTheme="majorHAnsi" w:cstheme="majorHAnsi"/>
          <w:b/>
          <w:bCs/>
          <w:sz w:val="22"/>
          <w:szCs w:val="22"/>
        </w:rPr>
        <w:lastRenderedPageBreak/>
        <w:t xml:space="preserve">   III.5   Seismic Vulnerability Assessment and Mitigation</w:t>
      </w:r>
    </w:p>
    <w:p w14:paraId="28060F7F" w14:textId="77777777" w:rsidR="00B04290" w:rsidRPr="00FF4517" w:rsidRDefault="00B04290" w:rsidP="00B04290">
      <w:pPr>
        <w:spacing w:after="120" w:line="360" w:lineRule="auto"/>
        <w:jc w:val="both"/>
        <w:rPr>
          <w:rFonts w:asciiTheme="majorHAnsi" w:hAnsiTheme="majorHAnsi" w:cstheme="majorHAnsi"/>
          <w:sz w:val="22"/>
          <w:szCs w:val="22"/>
        </w:rPr>
      </w:pPr>
      <w:r w:rsidRPr="00FF4517">
        <w:rPr>
          <w:rFonts w:asciiTheme="majorHAnsi" w:hAnsiTheme="majorHAnsi" w:cstheme="majorHAnsi"/>
          <w:sz w:val="22"/>
          <w:szCs w:val="22"/>
        </w:rPr>
        <w:t xml:space="preserve">Where seismic threats are identified, UNMSM funding can be made available to test for seismic resistance according to national codes, or when these do not exist, to international codes.  UNMSM resources can thus be requested for such seismic evaluations. However, UNMSM funding will not cover major infrastructural or construction works should these be required as a result of assessments. </w:t>
      </w:r>
    </w:p>
    <w:p w14:paraId="0B8D306A" w14:textId="77777777" w:rsidR="00B04290" w:rsidRPr="00FF4517" w:rsidRDefault="00B04290" w:rsidP="00B04290">
      <w:pPr>
        <w:keepNext/>
        <w:keepLines/>
        <w:spacing w:before="360" w:after="120" w:line="360" w:lineRule="auto"/>
        <w:ind w:right="-28"/>
        <w:rPr>
          <w:rFonts w:asciiTheme="majorHAnsi" w:hAnsiTheme="majorHAnsi" w:cstheme="majorHAnsi"/>
          <w:b/>
          <w:bCs/>
          <w:sz w:val="22"/>
          <w:szCs w:val="22"/>
        </w:rPr>
      </w:pPr>
      <w:r w:rsidRPr="00FF4517">
        <w:rPr>
          <w:rFonts w:asciiTheme="majorHAnsi" w:hAnsiTheme="majorHAnsi" w:cstheme="majorHAnsi"/>
          <w:b/>
          <w:bCs/>
          <w:sz w:val="22"/>
          <w:szCs w:val="22"/>
        </w:rPr>
        <w:t xml:space="preserve">    III.6 Surge Support    </w:t>
      </w:r>
    </w:p>
    <w:p w14:paraId="42870B9A" w14:textId="77777777" w:rsidR="00B04290" w:rsidRPr="00FF4517" w:rsidRDefault="00B04290" w:rsidP="007519E4">
      <w:pPr>
        <w:keepNext/>
        <w:keepLines/>
        <w:spacing w:before="360" w:after="120" w:line="360" w:lineRule="auto"/>
        <w:ind w:right="-28"/>
        <w:jc w:val="both"/>
        <w:rPr>
          <w:rFonts w:asciiTheme="majorHAnsi" w:hAnsiTheme="majorHAnsi" w:cstheme="majorHAnsi"/>
          <w:b/>
          <w:bCs/>
          <w:sz w:val="22"/>
          <w:szCs w:val="22"/>
        </w:rPr>
      </w:pPr>
      <w:r w:rsidRPr="00FF4517">
        <w:rPr>
          <w:rFonts w:asciiTheme="majorHAnsi" w:hAnsiTheme="majorHAnsi" w:cstheme="majorHAnsi"/>
          <w:sz w:val="22"/>
          <w:szCs w:val="22"/>
        </w:rPr>
        <w:t>While the UNMSM component of the Security Reserve does not ordinarily fund personnel, in situations where a specific requirement for Surge support has been identified through the SRM or through a UNDP specific Crisis Board, funding to temporarily support an international or national post may be considered for a specified period of time.</w:t>
      </w:r>
    </w:p>
    <w:p w14:paraId="51D4FC85" w14:textId="77777777" w:rsidR="00B04290" w:rsidRPr="00FF4517" w:rsidRDefault="00B04290" w:rsidP="00B04290">
      <w:pPr>
        <w:spacing w:before="360" w:after="120" w:line="360" w:lineRule="auto"/>
        <w:ind w:right="-29"/>
        <w:rPr>
          <w:rFonts w:asciiTheme="majorHAnsi" w:hAnsiTheme="majorHAnsi" w:cstheme="majorHAnsi"/>
          <w:b/>
          <w:bCs/>
          <w:sz w:val="22"/>
          <w:szCs w:val="22"/>
        </w:rPr>
      </w:pPr>
      <w:r w:rsidRPr="00FF4517">
        <w:rPr>
          <w:rFonts w:asciiTheme="majorHAnsi" w:hAnsiTheme="majorHAnsi" w:cstheme="majorHAnsi"/>
          <w:b/>
          <w:bCs/>
          <w:sz w:val="22"/>
          <w:szCs w:val="22"/>
        </w:rPr>
        <w:t xml:space="preserve">    III.7   Security Mandated Relocations</w:t>
      </w:r>
      <w:r w:rsidRPr="00FF4517">
        <w:rPr>
          <w:rFonts w:asciiTheme="majorHAnsi" w:hAnsiTheme="majorHAnsi" w:cstheme="majorHAnsi"/>
          <w:b/>
          <w:bCs/>
          <w:sz w:val="22"/>
          <w:szCs w:val="22"/>
        </w:rPr>
        <w:tab/>
      </w:r>
    </w:p>
    <w:p w14:paraId="72E85188" w14:textId="77777777" w:rsidR="00B04290" w:rsidRPr="00FF4517" w:rsidRDefault="00B04290" w:rsidP="00B04290">
      <w:pPr>
        <w:spacing w:after="120" w:line="360" w:lineRule="auto"/>
        <w:ind w:right="-26"/>
        <w:jc w:val="both"/>
        <w:rPr>
          <w:rFonts w:asciiTheme="majorHAnsi" w:hAnsiTheme="majorHAnsi" w:cstheme="majorHAnsi"/>
          <w:sz w:val="22"/>
          <w:szCs w:val="22"/>
        </w:rPr>
      </w:pPr>
      <w:r w:rsidRPr="00FF4517">
        <w:rPr>
          <w:rFonts w:asciiTheme="majorHAnsi" w:hAnsiTheme="majorHAnsi" w:cstheme="majorHAnsi"/>
          <w:sz w:val="22"/>
          <w:szCs w:val="22"/>
        </w:rPr>
        <w:t>The security mandated relocation of an office that is eligible for UNMSM funding may be exceptionally supported conditional on the relocation being justified due to one of the following:</w:t>
      </w:r>
    </w:p>
    <w:p w14:paraId="558CB8BA" w14:textId="77777777" w:rsidR="00B04290" w:rsidRPr="00FF4517" w:rsidRDefault="00B04290" w:rsidP="00B04290">
      <w:pPr>
        <w:pStyle w:val="ListParagraph"/>
        <w:numPr>
          <w:ilvl w:val="0"/>
          <w:numId w:val="39"/>
        </w:numPr>
        <w:spacing w:after="120" w:line="360" w:lineRule="auto"/>
        <w:ind w:right="-26"/>
        <w:jc w:val="both"/>
        <w:rPr>
          <w:rFonts w:asciiTheme="majorHAnsi" w:eastAsia="Arial" w:hAnsiTheme="majorHAnsi" w:cstheme="majorHAnsi"/>
          <w:sz w:val="22"/>
          <w:szCs w:val="22"/>
        </w:rPr>
      </w:pPr>
      <w:r w:rsidRPr="00FF4517">
        <w:rPr>
          <w:rFonts w:asciiTheme="majorHAnsi" w:hAnsiTheme="majorHAnsi" w:cstheme="majorHAnsi"/>
          <w:sz w:val="22"/>
          <w:szCs w:val="22"/>
        </w:rPr>
        <w:t>The security situation in the location of the eligible office has deteriorated to the extent that the risks to personnel and assets are assessed as too high to remain in the current location and the situation is unlikely to change in the foreseeable future. This assessment would have to be supported by the SRM/Ad-hoc SRM process and endorsed by the SMT.</w:t>
      </w:r>
    </w:p>
    <w:p w14:paraId="1297AE2F" w14:textId="6BB8F1CD" w:rsidR="00B04290" w:rsidRPr="00FF4517" w:rsidRDefault="00B04290" w:rsidP="00B04290">
      <w:pPr>
        <w:pStyle w:val="ListParagraph"/>
        <w:numPr>
          <w:ilvl w:val="0"/>
          <w:numId w:val="39"/>
        </w:numPr>
        <w:spacing w:after="120" w:line="360" w:lineRule="auto"/>
        <w:ind w:right="-26"/>
        <w:jc w:val="both"/>
        <w:rPr>
          <w:rFonts w:asciiTheme="majorHAnsi" w:hAnsiTheme="majorHAnsi" w:cstheme="majorHAnsi"/>
          <w:sz w:val="22"/>
          <w:szCs w:val="22"/>
        </w:rPr>
      </w:pPr>
      <w:r w:rsidRPr="00FF4517">
        <w:rPr>
          <w:rFonts w:asciiTheme="majorHAnsi" w:hAnsiTheme="majorHAnsi" w:cstheme="majorHAnsi"/>
          <w:sz w:val="22"/>
          <w:szCs w:val="22"/>
        </w:rPr>
        <w:t xml:space="preserve">The current office structure is assessed as unsafe and beyond economical repair and a business case supports the move to an </w:t>
      </w:r>
      <w:r w:rsidR="000212BB" w:rsidRPr="00FF4517">
        <w:rPr>
          <w:rFonts w:asciiTheme="majorHAnsi" w:hAnsiTheme="majorHAnsi" w:cstheme="majorHAnsi"/>
          <w:sz w:val="22"/>
          <w:szCs w:val="22"/>
        </w:rPr>
        <w:t>alternate premise</w:t>
      </w:r>
      <w:r w:rsidRPr="00FF4517">
        <w:rPr>
          <w:rFonts w:asciiTheme="majorHAnsi" w:hAnsiTheme="majorHAnsi" w:cstheme="majorHAnsi"/>
          <w:sz w:val="22"/>
          <w:szCs w:val="22"/>
        </w:rPr>
        <w:t xml:space="preserve">. </w:t>
      </w:r>
    </w:p>
    <w:p w14:paraId="60020927" w14:textId="77777777" w:rsidR="00B04290" w:rsidRPr="00FF4517" w:rsidRDefault="00B04290" w:rsidP="00B04290">
      <w:pPr>
        <w:spacing w:after="120" w:line="360" w:lineRule="auto"/>
        <w:ind w:right="-26"/>
        <w:jc w:val="both"/>
        <w:rPr>
          <w:rFonts w:asciiTheme="majorHAnsi" w:hAnsiTheme="majorHAnsi" w:cstheme="majorHAnsi"/>
          <w:sz w:val="22"/>
          <w:szCs w:val="22"/>
        </w:rPr>
      </w:pPr>
      <w:r w:rsidRPr="00FF4517">
        <w:rPr>
          <w:rFonts w:asciiTheme="majorHAnsi" w:hAnsiTheme="majorHAnsi" w:cstheme="majorHAnsi"/>
          <w:sz w:val="22"/>
          <w:szCs w:val="22"/>
        </w:rPr>
        <w:t>A security mandated relocation request will be submitted to the Chief of General Operations who will seek approval from the Legal Office, OFRM and the SO on whether the request is justified. When a security mandated relocation is approved, the SO will exceptionally support with funding through the UNMSM site for the following:</w:t>
      </w:r>
    </w:p>
    <w:p w14:paraId="49261354" w14:textId="77777777" w:rsidR="00B04290" w:rsidRPr="00FF4517" w:rsidRDefault="00B04290" w:rsidP="00B04290">
      <w:pPr>
        <w:pStyle w:val="ListParagraph"/>
        <w:numPr>
          <w:ilvl w:val="0"/>
          <w:numId w:val="47"/>
        </w:numPr>
        <w:spacing w:after="120" w:line="360" w:lineRule="auto"/>
        <w:ind w:right="-26"/>
        <w:jc w:val="both"/>
        <w:rPr>
          <w:rFonts w:asciiTheme="majorHAnsi" w:eastAsia="Arial" w:hAnsiTheme="majorHAnsi" w:cstheme="majorHAnsi"/>
          <w:sz w:val="22"/>
          <w:szCs w:val="22"/>
        </w:rPr>
      </w:pPr>
      <w:r w:rsidRPr="00FF4517">
        <w:rPr>
          <w:rFonts w:asciiTheme="majorHAnsi" w:hAnsiTheme="majorHAnsi" w:cstheme="majorHAnsi"/>
          <w:sz w:val="22"/>
          <w:szCs w:val="22"/>
        </w:rPr>
        <w:t>All new security items and measures that have been identified in the premises SRM that could not be transferred from the previous office, regardless whether they have been previously funded by the SO.</w:t>
      </w:r>
    </w:p>
    <w:p w14:paraId="54C06883" w14:textId="77777777" w:rsidR="00B04290" w:rsidRPr="00FF4517" w:rsidRDefault="00B04290" w:rsidP="00B04290">
      <w:pPr>
        <w:pStyle w:val="ListParagraph"/>
        <w:numPr>
          <w:ilvl w:val="0"/>
          <w:numId w:val="47"/>
        </w:numPr>
        <w:spacing w:after="120" w:line="360" w:lineRule="auto"/>
        <w:ind w:right="-26"/>
        <w:jc w:val="both"/>
        <w:rPr>
          <w:rFonts w:asciiTheme="majorHAnsi" w:hAnsiTheme="majorHAnsi" w:cstheme="majorHAnsi"/>
          <w:sz w:val="22"/>
          <w:szCs w:val="22"/>
        </w:rPr>
      </w:pPr>
      <w:r w:rsidRPr="00FF4517">
        <w:rPr>
          <w:rFonts w:asciiTheme="majorHAnsi" w:hAnsiTheme="majorHAnsi" w:cstheme="majorHAnsi"/>
          <w:sz w:val="22"/>
          <w:szCs w:val="22"/>
        </w:rPr>
        <w:lastRenderedPageBreak/>
        <w:t xml:space="preserve"> All civil works up to a cap of $200,000 and no more than 50% of the total cost for civil works.</w:t>
      </w:r>
    </w:p>
    <w:p w14:paraId="7476521D" w14:textId="77777777" w:rsidR="00B04290" w:rsidRPr="00FF4517" w:rsidRDefault="00B04290" w:rsidP="00B04290">
      <w:pPr>
        <w:tabs>
          <w:tab w:val="left" w:pos="-1530"/>
        </w:tabs>
        <w:spacing w:after="120" w:line="360" w:lineRule="auto"/>
        <w:ind w:right="-26"/>
        <w:jc w:val="both"/>
        <w:rPr>
          <w:rFonts w:asciiTheme="majorHAnsi" w:hAnsiTheme="majorHAnsi" w:cstheme="majorHAnsi"/>
          <w:sz w:val="22"/>
          <w:szCs w:val="22"/>
        </w:rPr>
      </w:pPr>
      <w:r w:rsidRPr="00FF4517">
        <w:rPr>
          <w:rFonts w:asciiTheme="majorHAnsi" w:hAnsiTheme="majorHAnsi" w:cstheme="majorHAnsi"/>
          <w:sz w:val="22"/>
          <w:szCs w:val="22"/>
        </w:rPr>
        <w:t>UNMSM funding is not available for routine relocations that are not initiated due to a change in the security status of a particular location, or due to deficiencies identified through the SRM process.</w:t>
      </w:r>
    </w:p>
    <w:p w14:paraId="7A390B48" w14:textId="77777777" w:rsidR="00B04290" w:rsidRPr="00FF4517" w:rsidRDefault="00B04290" w:rsidP="00B04290">
      <w:pPr>
        <w:pStyle w:val="Tabletext"/>
        <w:numPr>
          <w:ilvl w:val="0"/>
          <w:numId w:val="43"/>
        </w:numPr>
        <w:spacing w:before="360" w:after="120" w:line="360" w:lineRule="auto"/>
        <w:ind w:left="547" w:hanging="187"/>
        <w:rPr>
          <w:rFonts w:asciiTheme="majorHAnsi" w:hAnsiTheme="majorHAnsi" w:cstheme="majorHAnsi"/>
          <w:b/>
          <w:bCs/>
          <w:szCs w:val="22"/>
        </w:rPr>
      </w:pPr>
      <w:bookmarkStart w:id="0" w:name="Apply"/>
      <w:bookmarkEnd w:id="0"/>
      <w:r w:rsidRPr="00FF4517">
        <w:rPr>
          <w:rFonts w:asciiTheme="majorHAnsi" w:hAnsiTheme="majorHAnsi" w:cstheme="majorHAnsi"/>
          <w:b/>
          <w:bCs/>
          <w:szCs w:val="22"/>
        </w:rPr>
        <w:t>APPLYING FOR UNMSM RESOURCES</w:t>
      </w:r>
    </w:p>
    <w:p w14:paraId="7972C6F5" w14:textId="77777777" w:rsidR="00B04290" w:rsidRPr="00FF4517" w:rsidRDefault="00B04290" w:rsidP="00B04290">
      <w:pPr>
        <w:pStyle w:val="Tabletext"/>
        <w:numPr>
          <w:ilvl w:val="0"/>
          <w:numId w:val="45"/>
        </w:numPr>
        <w:spacing w:after="120" w:line="360" w:lineRule="auto"/>
        <w:ind w:left="450"/>
        <w:rPr>
          <w:rFonts w:asciiTheme="majorHAnsi" w:hAnsiTheme="majorHAnsi" w:cstheme="majorHAnsi"/>
          <w:b/>
          <w:szCs w:val="22"/>
        </w:rPr>
      </w:pPr>
      <w:r w:rsidRPr="00FF4517">
        <w:rPr>
          <w:rFonts w:asciiTheme="majorHAnsi" w:hAnsiTheme="majorHAnsi" w:cstheme="majorHAnsi"/>
          <w:b/>
          <w:szCs w:val="22"/>
        </w:rPr>
        <w:t>UNMSM Annual Exercise and SharePoint Site</w:t>
      </w:r>
    </w:p>
    <w:p w14:paraId="4347A44F" w14:textId="77777777" w:rsidR="00B04290" w:rsidRPr="00FF4517" w:rsidRDefault="00B04290" w:rsidP="00B04290">
      <w:pPr>
        <w:pStyle w:val="PlainText"/>
        <w:spacing w:after="120" w:line="360" w:lineRule="auto"/>
        <w:jc w:val="both"/>
        <w:rPr>
          <w:rFonts w:asciiTheme="majorHAnsi" w:hAnsiTheme="majorHAnsi" w:cstheme="majorHAnsi"/>
          <w:sz w:val="22"/>
          <w:szCs w:val="22"/>
          <w:lang w:val="en-US"/>
        </w:rPr>
      </w:pPr>
      <w:r w:rsidRPr="00FF4517">
        <w:rPr>
          <w:rFonts w:asciiTheme="majorHAnsi" w:hAnsiTheme="majorHAnsi" w:cstheme="majorHAnsi"/>
          <w:sz w:val="22"/>
          <w:szCs w:val="22"/>
          <w:lang w:val="en-US"/>
        </w:rPr>
        <w:t xml:space="preserve">Requests for UNMSM resources are collected and reviewed by the respective Sub-Regional and Regional Security Advisors and approved by the Security Office Director as part of an annual exercise which usually runs in the first half of the year to allow for sufficient time for implementation of measures in the second half of the year. Yearly communication and guidance on the launch of this exercise is provided by the UNDP Security Office through the Regional Security Advisors. Any applications for UNMSM resources after the deadline specified in the annual exercise may be supported if the requirements are urgent or justification for late submission is provided.  </w:t>
      </w:r>
    </w:p>
    <w:p w14:paraId="2E77358E" w14:textId="77777777" w:rsidR="00B04290" w:rsidRPr="00FF4517" w:rsidRDefault="00B04290" w:rsidP="00B04290">
      <w:pPr>
        <w:pStyle w:val="PlainText"/>
        <w:spacing w:after="120" w:line="360" w:lineRule="auto"/>
        <w:jc w:val="both"/>
        <w:rPr>
          <w:rFonts w:asciiTheme="majorHAnsi" w:hAnsiTheme="majorHAnsi" w:cstheme="majorHAnsi"/>
          <w:sz w:val="22"/>
          <w:szCs w:val="22"/>
        </w:rPr>
      </w:pPr>
      <w:r w:rsidRPr="00FF4517">
        <w:rPr>
          <w:rFonts w:asciiTheme="majorHAnsi" w:hAnsiTheme="majorHAnsi" w:cstheme="majorHAnsi"/>
          <w:sz w:val="22"/>
          <w:szCs w:val="22"/>
        </w:rPr>
        <w:t xml:space="preserve">While not mandatory, in order to avoid delays in the application process, it is recommended that offices first approach the UNDP  security practitioners to discuss items that should be requested as part of the process, as well as the specifications, availability and costing of these items. These discussions could be undertaken during the security assessment missions undertaken at the particular location, or at the launch of the annual UNMSM exercise.  </w:t>
      </w:r>
    </w:p>
    <w:p w14:paraId="2E4E4DAC" w14:textId="77777777" w:rsidR="00B04290" w:rsidRPr="00FF4517" w:rsidRDefault="00B04290" w:rsidP="00B04290">
      <w:pPr>
        <w:tabs>
          <w:tab w:val="left" w:pos="-1530"/>
        </w:tabs>
        <w:spacing w:after="120" w:line="360" w:lineRule="auto"/>
        <w:ind w:right="-26"/>
        <w:jc w:val="both"/>
        <w:rPr>
          <w:rFonts w:asciiTheme="majorHAnsi" w:hAnsiTheme="majorHAnsi" w:cstheme="majorHAnsi"/>
          <w:sz w:val="22"/>
          <w:szCs w:val="22"/>
        </w:rPr>
      </w:pPr>
      <w:r w:rsidRPr="00FF4517">
        <w:rPr>
          <w:rFonts w:asciiTheme="majorHAnsi" w:hAnsiTheme="majorHAnsi" w:cstheme="majorHAnsi"/>
          <w:sz w:val="22"/>
          <w:szCs w:val="22"/>
        </w:rPr>
        <w:t xml:space="preserve">UNMSM requests are submitted through the </w:t>
      </w:r>
      <w:hyperlink r:id="rId20">
        <w:r w:rsidRPr="00FF4517">
          <w:rPr>
            <w:rStyle w:val="Hyperlink"/>
            <w:rFonts w:asciiTheme="majorHAnsi" w:hAnsiTheme="majorHAnsi" w:cstheme="majorHAnsi"/>
            <w:color w:val="0070C0"/>
            <w:sz w:val="22"/>
            <w:szCs w:val="22"/>
          </w:rPr>
          <w:t>UNMSM SharePoint site</w:t>
        </w:r>
      </w:hyperlink>
      <w:r w:rsidRPr="00FF4517">
        <w:rPr>
          <w:rFonts w:asciiTheme="majorHAnsi" w:hAnsiTheme="majorHAnsi" w:cstheme="majorHAnsi"/>
          <w:color w:val="0070C0"/>
          <w:sz w:val="22"/>
          <w:szCs w:val="22"/>
        </w:rPr>
        <w:t xml:space="preserve"> </w:t>
      </w:r>
      <w:r w:rsidRPr="00FF4517">
        <w:rPr>
          <w:rFonts w:asciiTheme="majorHAnsi" w:hAnsiTheme="majorHAnsi" w:cstheme="majorHAnsi"/>
          <w:sz w:val="22"/>
          <w:szCs w:val="22"/>
        </w:rPr>
        <w:t xml:space="preserve">used for the management of UNMSM resources allocation process that automatically distributes funds and makes it possible to review itemized budgets and approve individual items, or request clarifications as required. The system provides transparency, access to data and history of the approval process for audit purposes. Please refer to Annex I, </w:t>
      </w:r>
      <w:r w:rsidRPr="00FF4517">
        <w:rPr>
          <w:rFonts w:asciiTheme="majorHAnsi" w:hAnsiTheme="majorHAnsi" w:cstheme="majorHAnsi"/>
          <w:b/>
          <w:bCs/>
          <w:sz w:val="22"/>
          <w:szCs w:val="22"/>
        </w:rPr>
        <w:t>“Steps to successfully complete and submit the UNMSM Form”</w:t>
      </w:r>
      <w:r w:rsidRPr="00FF4517">
        <w:rPr>
          <w:rFonts w:asciiTheme="majorHAnsi" w:hAnsiTheme="majorHAnsi" w:cstheme="majorHAnsi"/>
          <w:sz w:val="22"/>
          <w:szCs w:val="22"/>
        </w:rPr>
        <w:t xml:space="preserve"> for detailed guidance on submitting requests through the SharePoint site. While anyone within UNDP can submit requests through the UNMSM SharePoint site, it is recommended that the exercise be completed by the designated Agency Country Office Security Focal Point (ACSFP) or UNDP security personnel in countries where they are deployed.</w:t>
      </w:r>
    </w:p>
    <w:p w14:paraId="0D068519" w14:textId="77777777" w:rsidR="00B04290" w:rsidRPr="00FF4517" w:rsidRDefault="00B04290" w:rsidP="007519E4">
      <w:pPr>
        <w:spacing w:after="120" w:line="360" w:lineRule="auto"/>
        <w:jc w:val="both"/>
        <w:rPr>
          <w:rFonts w:asciiTheme="majorHAnsi" w:hAnsiTheme="majorHAnsi" w:cstheme="majorHAnsi"/>
          <w:sz w:val="22"/>
          <w:szCs w:val="22"/>
        </w:rPr>
      </w:pPr>
      <w:r w:rsidRPr="00FF4517">
        <w:rPr>
          <w:rFonts w:asciiTheme="majorHAnsi" w:hAnsiTheme="majorHAnsi" w:cstheme="majorHAnsi"/>
          <w:bCs/>
          <w:sz w:val="22"/>
          <w:szCs w:val="22"/>
        </w:rPr>
        <w:lastRenderedPageBreak/>
        <w:t xml:space="preserve">Each UNMSM request is justified by the security measures identified in the SRM in respective duty stations following an approved SRM process. The submission on the </w:t>
      </w:r>
      <w:hyperlink r:id="rId21">
        <w:r w:rsidRPr="00FF4517">
          <w:rPr>
            <w:rStyle w:val="Hyperlink"/>
            <w:rFonts w:asciiTheme="majorHAnsi" w:hAnsiTheme="majorHAnsi" w:cstheme="majorHAnsi"/>
            <w:color w:val="0070C0"/>
            <w:sz w:val="22"/>
            <w:szCs w:val="22"/>
          </w:rPr>
          <w:t>UNMSM SharePoint site</w:t>
        </w:r>
      </w:hyperlink>
      <w:r w:rsidRPr="00FF4517">
        <w:rPr>
          <w:rFonts w:asciiTheme="majorHAnsi" w:hAnsiTheme="majorHAnsi" w:cstheme="majorHAnsi"/>
          <w:bCs/>
          <w:sz w:val="22"/>
          <w:szCs w:val="22"/>
        </w:rPr>
        <w:t xml:space="preserve"> is conditional on the Security Compliance Survey (SCS) for the previous year having been completed, together with the expenditure report for the previous year’s allocation (see Annex II for detailed guide). Prioritization is applied on the basis of critical deficiencies identified through these tools. Offices that do not participate in the Security Compliance Survey will not be considered for UNMSM funding.</w:t>
      </w:r>
    </w:p>
    <w:p w14:paraId="4E2CB9BE" w14:textId="77777777" w:rsidR="00B04290" w:rsidRPr="00FF4517" w:rsidRDefault="00B04290" w:rsidP="007519E4">
      <w:pPr>
        <w:keepNext/>
        <w:tabs>
          <w:tab w:val="left" w:pos="-1530"/>
        </w:tabs>
        <w:spacing w:after="120" w:line="360" w:lineRule="auto"/>
        <w:ind w:right="-29"/>
        <w:jc w:val="both"/>
        <w:rPr>
          <w:rFonts w:asciiTheme="majorHAnsi" w:hAnsiTheme="majorHAnsi" w:cstheme="majorHAnsi"/>
          <w:bCs/>
          <w:sz w:val="22"/>
          <w:szCs w:val="22"/>
        </w:rPr>
      </w:pPr>
      <w:r w:rsidRPr="00FF4517">
        <w:rPr>
          <w:rFonts w:asciiTheme="majorHAnsi" w:hAnsiTheme="majorHAnsi" w:cstheme="majorHAnsi"/>
          <w:bCs/>
          <w:sz w:val="22"/>
          <w:szCs w:val="22"/>
        </w:rPr>
        <w:t>The following illustrates the workflow for requesting and utilizing UNMSM resources:</w:t>
      </w:r>
    </w:p>
    <w:p w14:paraId="24DE8791" w14:textId="77777777" w:rsidR="00B04290" w:rsidRPr="00FF4517" w:rsidRDefault="00B04290" w:rsidP="00B04290">
      <w:pPr>
        <w:tabs>
          <w:tab w:val="left" w:pos="-1530"/>
          <w:tab w:val="left" w:pos="540"/>
        </w:tabs>
        <w:spacing w:after="120" w:line="360" w:lineRule="auto"/>
        <w:ind w:right="-26"/>
        <w:jc w:val="center"/>
        <w:rPr>
          <w:rFonts w:asciiTheme="majorHAnsi" w:hAnsiTheme="majorHAnsi" w:cstheme="majorHAnsi"/>
          <w:sz w:val="22"/>
          <w:szCs w:val="22"/>
        </w:rPr>
      </w:pPr>
    </w:p>
    <w:p w14:paraId="08037B7A" w14:textId="77777777" w:rsidR="00B04290" w:rsidRPr="00FF4517" w:rsidRDefault="00B04290" w:rsidP="00B04290">
      <w:pPr>
        <w:tabs>
          <w:tab w:val="left" w:pos="-1530"/>
          <w:tab w:val="left" w:pos="540"/>
        </w:tabs>
        <w:spacing w:after="120" w:line="360" w:lineRule="auto"/>
        <w:ind w:right="-26"/>
        <w:jc w:val="center"/>
        <w:rPr>
          <w:rFonts w:asciiTheme="majorHAnsi" w:hAnsiTheme="majorHAnsi" w:cstheme="majorHAnsi"/>
          <w:sz w:val="22"/>
          <w:szCs w:val="22"/>
        </w:rPr>
      </w:pPr>
      <w:r w:rsidRPr="00FF4517">
        <w:rPr>
          <w:rFonts w:asciiTheme="majorHAnsi" w:hAnsiTheme="majorHAnsi" w:cstheme="majorHAnsi"/>
          <w:noProof/>
          <w:sz w:val="22"/>
          <w:szCs w:val="22"/>
        </w:rPr>
        <w:drawing>
          <wp:inline distT="0" distB="0" distL="0" distR="0" wp14:anchorId="7DFF2E10" wp14:editId="41970EE7">
            <wp:extent cx="4593744" cy="3497364"/>
            <wp:effectExtent l="0" t="0" r="0" b="0"/>
            <wp:docPr id="841644804"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4593744" cy="3497364"/>
                    </a:xfrm>
                    <a:prstGeom prst="rect">
                      <a:avLst/>
                    </a:prstGeom>
                  </pic:spPr>
                </pic:pic>
              </a:graphicData>
            </a:graphic>
          </wp:inline>
        </w:drawing>
      </w:r>
    </w:p>
    <w:p w14:paraId="08A4BAD6" w14:textId="77777777" w:rsidR="00B04290" w:rsidRPr="00FF4517" w:rsidRDefault="00B04290" w:rsidP="00B04290">
      <w:pPr>
        <w:pStyle w:val="Tabletext"/>
        <w:numPr>
          <w:ilvl w:val="0"/>
          <w:numId w:val="45"/>
        </w:numPr>
        <w:spacing w:after="120" w:line="360" w:lineRule="auto"/>
        <w:ind w:left="540"/>
        <w:rPr>
          <w:rFonts w:asciiTheme="majorHAnsi" w:hAnsiTheme="majorHAnsi" w:cstheme="majorHAnsi"/>
          <w:b/>
          <w:szCs w:val="22"/>
        </w:rPr>
      </w:pPr>
      <w:r w:rsidRPr="00FF4517">
        <w:rPr>
          <w:rFonts w:asciiTheme="majorHAnsi" w:hAnsiTheme="majorHAnsi" w:cstheme="majorHAnsi"/>
          <w:b/>
          <w:szCs w:val="22"/>
        </w:rPr>
        <w:t>Approval of UNMSM Funds</w:t>
      </w:r>
    </w:p>
    <w:p w14:paraId="32A04A1B" w14:textId="77777777" w:rsidR="00B04290" w:rsidRPr="00FF4517" w:rsidRDefault="00B04290" w:rsidP="00B04290">
      <w:pPr>
        <w:tabs>
          <w:tab w:val="left" w:pos="-1530"/>
        </w:tabs>
        <w:spacing w:after="120" w:line="360" w:lineRule="auto"/>
        <w:ind w:right="-26"/>
        <w:jc w:val="both"/>
        <w:rPr>
          <w:rFonts w:asciiTheme="majorHAnsi" w:hAnsiTheme="majorHAnsi" w:cstheme="majorHAnsi"/>
          <w:bCs/>
          <w:sz w:val="22"/>
          <w:szCs w:val="22"/>
        </w:rPr>
      </w:pPr>
      <w:r w:rsidRPr="00FF4517">
        <w:rPr>
          <w:rFonts w:asciiTheme="majorHAnsi" w:hAnsiTheme="majorHAnsi" w:cstheme="majorHAnsi"/>
          <w:sz w:val="22"/>
          <w:szCs w:val="22"/>
        </w:rPr>
        <w:t xml:space="preserve">Once the funding requests for the implementation of </w:t>
      </w:r>
      <w:r w:rsidRPr="00FF4517">
        <w:rPr>
          <w:rFonts w:asciiTheme="majorHAnsi" w:hAnsiTheme="majorHAnsi" w:cstheme="majorHAnsi"/>
          <w:bCs/>
          <w:sz w:val="22"/>
          <w:szCs w:val="22"/>
        </w:rPr>
        <w:t xml:space="preserve">UNMSM </w:t>
      </w:r>
      <w:r w:rsidRPr="00FF4517">
        <w:rPr>
          <w:rFonts w:asciiTheme="majorHAnsi" w:hAnsiTheme="majorHAnsi" w:cstheme="majorHAnsi"/>
          <w:sz w:val="22"/>
          <w:szCs w:val="22"/>
        </w:rPr>
        <w:t xml:space="preserve">are reviewed and endorsed by respective Sub-Regional/Regional Security Advisors, the requests are forwarded to </w:t>
      </w:r>
      <w:r w:rsidRPr="00FF4517">
        <w:rPr>
          <w:rFonts w:asciiTheme="majorHAnsi" w:hAnsiTheme="majorHAnsi" w:cstheme="majorHAnsi"/>
          <w:bCs/>
          <w:sz w:val="22"/>
          <w:szCs w:val="22"/>
        </w:rPr>
        <w:t xml:space="preserve">the </w:t>
      </w:r>
      <w:r w:rsidRPr="00FF4517">
        <w:rPr>
          <w:rFonts w:asciiTheme="majorHAnsi" w:hAnsiTheme="majorHAnsi" w:cstheme="majorHAnsi"/>
          <w:sz w:val="22"/>
          <w:szCs w:val="22"/>
        </w:rPr>
        <w:t xml:space="preserve">Security Office Director for final approval. </w:t>
      </w:r>
      <w:r w:rsidRPr="00FF4517">
        <w:rPr>
          <w:rFonts w:asciiTheme="majorHAnsi" w:hAnsiTheme="majorHAnsi" w:cstheme="majorHAnsi"/>
          <w:bCs/>
          <w:sz w:val="22"/>
          <w:szCs w:val="22"/>
        </w:rPr>
        <w:t xml:space="preserve"> UNMSM resources can be issued as funding through Atlas or as contributions from a stock of security items prepositioned by the Security Office (In-kind contribution).</w:t>
      </w:r>
    </w:p>
    <w:p w14:paraId="4A47C7A6" w14:textId="77777777" w:rsidR="00B04290" w:rsidRPr="00FF4517" w:rsidRDefault="00B04290" w:rsidP="00B04290">
      <w:pPr>
        <w:tabs>
          <w:tab w:val="left" w:pos="-1530"/>
        </w:tabs>
        <w:spacing w:after="120" w:line="360" w:lineRule="auto"/>
        <w:ind w:right="-26"/>
        <w:jc w:val="both"/>
        <w:rPr>
          <w:rFonts w:asciiTheme="majorHAnsi" w:hAnsiTheme="majorHAnsi" w:cstheme="majorHAnsi"/>
          <w:b/>
          <w:bCs/>
          <w:sz w:val="22"/>
          <w:szCs w:val="22"/>
          <w:lang w:val="en-GB"/>
        </w:rPr>
      </w:pPr>
      <w:r w:rsidRPr="00FF4517">
        <w:rPr>
          <w:rFonts w:asciiTheme="majorHAnsi" w:hAnsiTheme="majorHAnsi" w:cstheme="majorHAnsi"/>
          <w:sz w:val="22"/>
          <w:szCs w:val="22"/>
        </w:rPr>
        <w:lastRenderedPageBreak/>
        <w:t xml:space="preserve">Requests for redeployment of allotted funds, i.e. using the resources for other security purposes, are reviewed and recommended by the Regional Security Advisors in consultation with HQ SO. This could happen if some of the measures to which the funds were provided could not be implemented by reasons beyond UNDP control (e.g. the Government did not approve procurement or failed to provide customs clearance). It is at the discretion of the Security Office either to approve redeployment for other purposes (if request is justified within the SRM) within the same organizational unit or redirect the unexpended funds to other locations. Any redeployment of funds has to be for agreed security expenditures only. </w:t>
      </w:r>
    </w:p>
    <w:p w14:paraId="3EC2FCFA" w14:textId="77777777" w:rsidR="00B04290" w:rsidRPr="00FF4517" w:rsidRDefault="00B04290" w:rsidP="00B04290">
      <w:pPr>
        <w:pStyle w:val="Tabletext"/>
        <w:keepNext/>
        <w:keepLines/>
        <w:numPr>
          <w:ilvl w:val="0"/>
          <w:numId w:val="45"/>
        </w:numPr>
        <w:spacing w:after="120" w:line="360" w:lineRule="auto"/>
        <w:ind w:left="540"/>
        <w:rPr>
          <w:rFonts w:asciiTheme="majorHAnsi" w:hAnsiTheme="majorHAnsi" w:cstheme="majorHAnsi"/>
          <w:b/>
          <w:szCs w:val="22"/>
        </w:rPr>
      </w:pPr>
      <w:r w:rsidRPr="00FF4517">
        <w:rPr>
          <w:rFonts w:asciiTheme="majorHAnsi" w:hAnsiTheme="majorHAnsi" w:cstheme="majorHAnsi"/>
          <w:b/>
          <w:szCs w:val="22"/>
        </w:rPr>
        <w:t>Budget Management</w:t>
      </w:r>
    </w:p>
    <w:p w14:paraId="596FDC35" w14:textId="77777777" w:rsidR="00B04290" w:rsidRPr="00FF4517" w:rsidRDefault="00B04290" w:rsidP="007519E4">
      <w:pPr>
        <w:keepNext/>
        <w:keepLines/>
        <w:spacing w:after="120" w:line="360" w:lineRule="auto"/>
        <w:jc w:val="both"/>
        <w:rPr>
          <w:rFonts w:asciiTheme="majorHAnsi" w:hAnsiTheme="majorHAnsi" w:cstheme="majorHAnsi"/>
          <w:b/>
          <w:bCs/>
          <w:sz w:val="22"/>
          <w:szCs w:val="22"/>
        </w:rPr>
      </w:pPr>
      <w:r w:rsidRPr="00FF4517">
        <w:rPr>
          <w:rFonts w:asciiTheme="majorHAnsi" w:hAnsiTheme="majorHAnsi" w:cstheme="majorHAnsi"/>
          <w:sz w:val="22"/>
          <w:szCs w:val="22"/>
        </w:rPr>
        <w:t>Upon final approval of requests through the UNMSM platform, an Authorized Spending Limit (ASL) is established under fund code 19990 and donor code 00012 for each approved budget proposal. The receiving UNDP Office is responsible to establish or extend a separate management project in Atlas and enter the budget as per approved budget categories. Country offices administering UNDSS projects are requested to create a separate project for UNMSM funds, and not to lump UNDSS and UNMSM funds under one project. In cases, when funds have been provided for locally cost-shared one-time off security measures, the related resources may be redeployed or budgeted in the common security projects cost-shared between Agencies.</w:t>
      </w:r>
    </w:p>
    <w:p w14:paraId="335FD1D8" w14:textId="77777777" w:rsidR="00B04290" w:rsidRPr="00FF4517" w:rsidRDefault="00B04290" w:rsidP="00B04290">
      <w:pPr>
        <w:rPr>
          <w:rFonts w:asciiTheme="majorHAnsi" w:hAnsiTheme="majorHAnsi" w:cstheme="majorHAnsi"/>
          <w:b/>
          <w:bCs/>
          <w:sz w:val="22"/>
          <w:szCs w:val="22"/>
        </w:rPr>
      </w:pPr>
    </w:p>
    <w:p w14:paraId="7E021738" w14:textId="77777777" w:rsidR="00B04290" w:rsidRPr="00FF4517" w:rsidRDefault="00B04290" w:rsidP="00B04290">
      <w:pPr>
        <w:pStyle w:val="Tabletext"/>
        <w:numPr>
          <w:ilvl w:val="0"/>
          <w:numId w:val="45"/>
        </w:numPr>
        <w:spacing w:after="120" w:line="360" w:lineRule="auto"/>
        <w:ind w:left="540"/>
        <w:rPr>
          <w:rFonts w:asciiTheme="majorHAnsi" w:hAnsiTheme="majorHAnsi" w:cstheme="majorHAnsi"/>
          <w:b/>
          <w:bCs/>
          <w:szCs w:val="22"/>
        </w:rPr>
      </w:pPr>
      <w:r w:rsidRPr="00FF4517">
        <w:rPr>
          <w:rFonts w:asciiTheme="majorHAnsi" w:hAnsiTheme="majorHAnsi" w:cstheme="majorHAnsi"/>
          <w:b/>
          <w:szCs w:val="22"/>
        </w:rPr>
        <w:t>Procurement</w:t>
      </w:r>
    </w:p>
    <w:p w14:paraId="3141B1B0" w14:textId="77777777" w:rsidR="00B04290" w:rsidRPr="00FF4517" w:rsidRDefault="00B04290" w:rsidP="00B04290">
      <w:pPr>
        <w:tabs>
          <w:tab w:val="left" w:pos="-1530"/>
          <w:tab w:val="left" w:pos="540"/>
        </w:tabs>
        <w:spacing w:after="120" w:line="360" w:lineRule="auto"/>
        <w:ind w:right="-26"/>
        <w:jc w:val="both"/>
        <w:rPr>
          <w:rFonts w:asciiTheme="majorHAnsi" w:hAnsiTheme="majorHAnsi" w:cstheme="majorHAnsi"/>
          <w:b/>
          <w:bCs/>
          <w:sz w:val="22"/>
          <w:szCs w:val="22"/>
        </w:rPr>
      </w:pPr>
      <w:r w:rsidRPr="00FF4517">
        <w:rPr>
          <w:rFonts w:asciiTheme="majorHAnsi" w:hAnsiTheme="majorHAnsi" w:cstheme="majorHAnsi"/>
          <w:sz w:val="22"/>
          <w:szCs w:val="22"/>
        </w:rPr>
        <w:t>UNMSM funds can be approved for security related equipment, such as communication equipment, access control equipment, armored vehicles, etc. Whenever such equipment is pre-stocked by Security Office, those items will be provided as in-kind contribution and arrangements be made for their shipment to the receiving office. For items not in stock, UNDP offices will receive the funds and proceed with the purchase of approved items in compliance with UNDP procurement rules and procedures. UNDP offices can contact the Security Office if they require assistance with some specific security goods and services, who can provide guidance including reference to the existing LTAs to facilitate the procurement process</w:t>
      </w:r>
      <w:r w:rsidRPr="00FF4517">
        <w:rPr>
          <w:rFonts w:asciiTheme="majorHAnsi" w:hAnsiTheme="majorHAnsi" w:cstheme="majorHAnsi"/>
          <w:b/>
          <w:bCs/>
          <w:sz w:val="22"/>
          <w:szCs w:val="22"/>
        </w:rPr>
        <w:t>.</w:t>
      </w:r>
    </w:p>
    <w:p w14:paraId="404A679B" w14:textId="77777777" w:rsidR="00B04290" w:rsidRPr="00FF4517" w:rsidRDefault="00B04290" w:rsidP="00B04290">
      <w:pPr>
        <w:pStyle w:val="Tabletext"/>
        <w:numPr>
          <w:ilvl w:val="0"/>
          <w:numId w:val="45"/>
        </w:numPr>
        <w:spacing w:after="120" w:line="360" w:lineRule="auto"/>
        <w:ind w:left="540"/>
        <w:rPr>
          <w:rFonts w:asciiTheme="majorHAnsi" w:hAnsiTheme="majorHAnsi" w:cstheme="majorHAnsi"/>
          <w:b/>
          <w:szCs w:val="22"/>
        </w:rPr>
      </w:pPr>
      <w:r w:rsidRPr="00FF4517">
        <w:rPr>
          <w:rFonts w:asciiTheme="majorHAnsi" w:hAnsiTheme="majorHAnsi" w:cstheme="majorHAnsi"/>
          <w:b/>
          <w:szCs w:val="22"/>
        </w:rPr>
        <w:t>Asset Management</w:t>
      </w:r>
    </w:p>
    <w:p w14:paraId="017587C5" w14:textId="77777777" w:rsidR="00B04290" w:rsidRPr="00FF4517" w:rsidRDefault="00B04290" w:rsidP="00B04290">
      <w:pPr>
        <w:tabs>
          <w:tab w:val="left" w:pos="-1530"/>
          <w:tab w:val="left" w:pos="540"/>
        </w:tabs>
        <w:spacing w:after="120" w:line="360" w:lineRule="auto"/>
        <w:ind w:right="-26"/>
        <w:jc w:val="both"/>
        <w:rPr>
          <w:rFonts w:asciiTheme="majorHAnsi" w:hAnsiTheme="majorHAnsi" w:cstheme="majorHAnsi"/>
          <w:b/>
          <w:sz w:val="22"/>
          <w:szCs w:val="22"/>
        </w:rPr>
      </w:pPr>
      <w:r w:rsidRPr="00FF4517">
        <w:rPr>
          <w:rFonts w:asciiTheme="majorHAnsi" w:hAnsiTheme="majorHAnsi" w:cstheme="majorHAnsi"/>
          <w:sz w:val="22"/>
          <w:szCs w:val="22"/>
        </w:rPr>
        <w:t xml:space="preserve">UNDP offices will maintain the custody and control over equipment purchased through approved UNMSM funds. When equipment is provided from the existing stock of Security Office, it may </w:t>
      </w:r>
      <w:r w:rsidRPr="00FF4517">
        <w:rPr>
          <w:rFonts w:asciiTheme="majorHAnsi" w:hAnsiTheme="majorHAnsi" w:cstheme="majorHAnsi"/>
          <w:sz w:val="22"/>
          <w:szCs w:val="22"/>
        </w:rPr>
        <w:lastRenderedPageBreak/>
        <w:t>require transfer of the assets to the respective UNDP office. In such cases, transfer is processed through GSSU upon provision of necessary documents with no financial implication to receiving UNDP office.</w:t>
      </w:r>
      <w:r w:rsidRPr="00FF4517">
        <w:rPr>
          <w:rFonts w:asciiTheme="majorHAnsi" w:hAnsiTheme="majorHAnsi" w:cstheme="majorHAnsi"/>
          <w:bCs/>
          <w:sz w:val="22"/>
          <w:szCs w:val="22"/>
        </w:rPr>
        <w:t xml:space="preserve"> Assets purchased through UNMSM funds should be recorded against the same fund code until obsolete and disposed. </w:t>
      </w:r>
    </w:p>
    <w:p w14:paraId="14E6379B" w14:textId="77777777" w:rsidR="00B04290" w:rsidRPr="00FF4517" w:rsidRDefault="00B04290" w:rsidP="00B04290">
      <w:pPr>
        <w:pStyle w:val="Tabletext"/>
        <w:keepNext/>
        <w:keepLines/>
        <w:numPr>
          <w:ilvl w:val="0"/>
          <w:numId w:val="45"/>
        </w:numPr>
        <w:spacing w:after="120" w:line="360" w:lineRule="auto"/>
        <w:ind w:left="540"/>
        <w:rPr>
          <w:rFonts w:asciiTheme="majorHAnsi" w:hAnsiTheme="majorHAnsi" w:cstheme="majorHAnsi"/>
          <w:b/>
          <w:szCs w:val="22"/>
        </w:rPr>
      </w:pPr>
      <w:r w:rsidRPr="00FF4517">
        <w:rPr>
          <w:rFonts w:asciiTheme="majorHAnsi" w:hAnsiTheme="majorHAnsi" w:cstheme="majorHAnsi"/>
          <w:b/>
          <w:szCs w:val="22"/>
        </w:rPr>
        <w:t>Reporting</w:t>
      </w:r>
    </w:p>
    <w:p w14:paraId="5EF00123" w14:textId="77777777" w:rsidR="00B04290" w:rsidRPr="00FF4517" w:rsidRDefault="00B04290" w:rsidP="00B04290">
      <w:pPr>
        <w:keepNext/>
        <w:keepLines/>
        <w:tabs>
          <w:tab w:val="left" w:pos="-1530"/>
        </w:tabs>
        <w:spacing w:after="120" w:line="360" w:lineRule="auto"/>
        <w:ind w:right="-26"/>
        <w:jc w:val="both"/>
        <w:rPr>
          <w:rFonts w:asciiTheme="majorHAnsi" w:hAnsiTheme="majorHAnsi" w:cstheme="majorHAnsi"/>
          <w:sz w:val="22"/>
          <w:szCs w:val="22"/>
        </w:rPr>
      </w:pPr>
      <w:r w:rsidRPr="00FF4517">
        <w:rPr>
          <w:rFonts w:asciiTheme="majorHAnsi" w:hAnsiTheme="majorHAnsi" w:cstheme="majorHAnsi"/>
          <w:sz w:val="22"/>
          <w:szCs w:val="22"/>
        </w:rPr>
        <w:t>Once the offices spend the approved UNMSM funds in accordance with approved budget categories, the UNDP office must report on expenditures in the UNMSM site to conclude the implementation tracking of the approved request. Additionally, UNDP offices are required to complete a mandatory Security Compliance Survey (SCS) on an annual basis. UNDP offices cannot submit requests for UNMSM funding prior to the SCS being finalized for the previous year.</w:t>
      </w:r>
    </w:p>
    <w:p w14:paraId="38687A2A" w14:textId="77777777" w:rsidR="00B04290" w:rsidRPr="00FF4517" w:rsidRDefault="00B04290" w:rsidP="00B04290">
      <w:pPr>
        <w:tabs>
          <w:tab w:val="left" w:pos="-1530"/>
          <w:tab w:val="left" w:pos="540"/>
        </w:tabs>
        <w:spacing w:after="120" w:line="360" w:lineRule="auto"/>
        <w:ind w:right="-26"/>
        <w:jc w:val="both"/>
        <w:rPr>
          <w:rFonts w:asciiTheme="majorHAnsi" w:hAnsiTheme="majorHAnsi" w:cstheme="majorHAnsi"/>
          <w:b/>
          <w:bCs/>
          <w:sz w:val="22"/>
          <w:szCs w:val="22"/>
        </w:rPr>
      </w:pPr>
      <w:r w:rsidRPr="00FF4517">
        <w:rPr>
          <w:rFonts w:asciiTheme="majorHAnsi" w:hAnsiTheme="majorHAnsi" w:cstheme="majorHAnsi"/>
          <w:b/>
          <w:bCs/>
          <w:sz w:val="22"/>
          <w:szCs w:val="22"/>
        </w:rPr>
        <w:t>Annexes (links to UNDP Intranet, access required):</w:t>
      </w:r>
    </w:p>
    <w:p w14:paraId="1B236258" w14:textId="77777777" w:rsidR="00B04290" w:rsidRPr="00FF4517" w:rsidRDefault="007F31CF" w:rsidP="00B04290">
      <w:pPr>
        <w:tabs>
          <w:tab w:val="left" w:pos="-1530"/>
          <w:tab w:val="left" w:pos="540"/>
        </w:tabs>
        <w:spacing w:after="120" w:line="360" w:lineRule="auto"/>
        <w:ind w:right="-26"/>
        <w:jc w:val="both"/>
        <w:rPr>
          <w:rFonts w:asciiTheme="majorHAnsi" w:hAnsiTheme="majorHAnsi" w:cstheme="majorHAnsi"/>
          <w:sz w:val="22"/>
          <w:szCs w:val="22"/>
        </w:rPr>
      </w:pPr>
      <w:hyperlink r:id="rId23" w:history="1">
        <w:r w:rsidR="00B04290" w:rsidRPr="00FF4517">
          <w:rPr>
            <w:rStyle w:val="Hyperlink"/>
            <w:rFonts w:asciiTheme="majorHAnsi" w:hAnsiTheme="majorHAnsi" w:cstheme="majorHAnsi"/>
            <w:sz w:val="22"/>
            <w:szCs w:val="22"/>
          </w:rPr>
          <w:t>Annex I – Steps to successfully complete and submit the UNMSM Form.</w:t>
        </w:r>
      </w:hyperlink>
    </w:p>
    <w:p w14:paraId="37808F94" w14:textId="77777777" w:rsidR="00B04290" w:rsidRPr="00FF4517" w:rsidRDefault="007F31CF" w:rsidP="00B04290">
      <w:pPr>
        <w:tabs>
          <w:tab w:val="left" w:pos="-1530"/>
          <w:tab w:val="left" w:pos="540"/>
        </w:tabs>
        <w:spacing w:after="120" w:line="360" w:lineRule="auto"/>
        <w:ind w:right="-26"/>
        <w:jc w:val="both"/>
        <w:rPr>
          <w:rFonts w:asciiTheme="majorHAnsi" w:hAnsiTheme="majorHAnsi" w:cstheme="majorHAnsi"/>
          <w:sz w:val="22"/>
          <w:szCs w:val="22"/>
        </w:rPr>
      </w:pPr>
      <w:hyperlink r:id="rId24" w:history="1">
        <w:r w:rsidR="00B04290" w:rsidRPr="00FF4517">
          <w:rPr>
            <w:rStyle w:val="Hyperlink"/>
            <w:rFonts w:asciiTheme="majorHAnsi" w:hAnsiTheme="majorHAnsi" w:cstheme="majorHAnsi"/>
            <w:sz w:val="22"/>
            <w:szCs w:val="22"/>
          </w:rPr>
          <w:t>Annex II - Implementation tracking guide.</w:t>
        </w:r>
      </w:hyperlink>
    </w:p>
    <w:p w14:paraId="5A10F0CA" w14:textId="77777777" w:rsidR="00B04290" w:rsidRPr="00FF4517" w:rsidRDefault="007F31CF" w:rsidP="00B04290">
      <w:pPr>
        <w:tabs>
          <w:tab w:val="left" w:pos="-1530"/>
          <w:tab w:val="left" w:pos="540"/>
        </w:tabs>
        <w:spacing w:after="120" w:line="360" w:lineRule="auto"/>
        <w:ind w:right="-26"/>
        <w:jc w:val="both"/>
        <w:rPr>
          <w:rFonts w:asciiTheme="majorHAnsi" w:hAnsiTheme="majorHAnsi" w:cstheme="majorHAnsi"/>
          <w:b/>
          <w:sz w:val="22"/>
          <w:szCs w:val="22"/>
        </w:rPr>
      </w:pPr>
      <w:hyperlink r:id="rId25" w:history="1">
        <w:r w:rsidR="00B04290" w:rsidRPr="00FF4517">
          <w:rPr>
            <w:rStyle w:val="Hyperlink"/>
            <w:rFonts w:asciiTheme="majorHAnsi" w:hAnsiTheme="majorHAnsi" w:cstheme="majorHAnsi"/>
            <w:sz w:val="22"/>
            <w:szCs w:val="22"/>
          </w:rPr>
          <w:t>Annex III – Security Items Catalogue.</w:t>
        </w:r>
      </w:hyperlink>
    </w:p>
    <w:p w14:paraId="5701285B" w14:textId="77777777" w:rsidR="00A94E3C" w:rsidRPr="00FF4517" w:rsidRDefault="00A94E3C" w:rsidP="00F948AE">
      <w:pPr>
        <w:rPr>
          <w:rFonts w:asciiTheme="majorHAnsi" w:hAnsiTheme="majorHAnsi" w:cstheme="majorHAnsi"/>
          <w:sz w:val="22"/>
          <w:szCs w:val="22"/>
        </w:rPr>
      </w:pPr>
    </w:p>
    <w:sectPr w:rsidR="00A94E3C" w:rsidRPr="00FF4517" w:rsidSect="000058C0">
      <w:headerReference w:type="default" r:id="rId26"/>
      <w:footerReference w:type="default" r:id="rId27"/>
      <w:headerReference w:type="first" r:id="rId28"/>
      <w:footerReference w:type="first" r:id="rId29"/>
      <w:pgSz w:w="12240" w:h="15840"/>
      <w:pgMar w:top="1080" w:right="1800" w:bottom="9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4ADF96" w14:textId="77777777" w:rsidR="007F31CF" w:rsidRDefault="007F31CF" w:rsidP="006A295A">
      <w:r>
        <w:separator/>
      </w:r>
    </w:p>
  </w:endnote>
  <w:endnote w:type="continuationSeparator" w:id="0">
    <w:p w14:paraId="5C1BB45B" w14:textId="77777777" w:rsidR="007F31CF" w:rsidRDefault="007F31CF" w:rsidP="006A2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0DD55" w14:textId="3FCDD5A7" w:rsidR="00F820D3" w:rsidRPr="00BF5D43" w:rsidRDefault="00BF5D43">
    <w:pPr>
      <w:pStyle w:val="Footer"/>
      <w:rPr>
        <w:rFonts w:asciiTheme="majorHAnsi" w:hAnsiTheme="majorHAnsi"/>
        <w:sz w:val="22"/>
        <w:szCs w:val="22"/>
      </w:rPr>
    </w:pPr>
    <w:r w:rsidRPr="00BF5D43">
      <w:rPr>
        <w:rFonts w:asciiTheme="majorHAnsi" w:hAnsiTheme="majorHAnsi"/>
        <w:sz w:val="22"/>
        <w:szCs w:val="22"/>
      </w:rPr>
      <w:t xml:space="preserve">Page </w:t>
    </w:r>
    <w:r w:rsidRPr="00BF5D43">
      <w:rPr>
        <w:rFonts w:asciiTheme="majorHAnsi" w:hAnsiTheme="majorHAnsi"/>
        <w:b/>
        <w:sz w:val="22"/>
        <w:szCs w:val="22"/>
      </w:rPr>
      <w:fldChar w:fldCharType="begin"/>
    </w:r>
    <w:r w:rsidRPr="00BF5D43">
      <w:rPr>
        <w:rFonts w:asciiTheme="majorHAnsi" w:hAnsiTheme="majorHAnsi"/>
        <w:b/>
        <w:sz w:val="22"/>
        <w:szCs w:val="22"/>
      </w:rPr>
      <w:instrText xml:space="preserve"> PAGE  \* Arabic  \* MERGEFORMAT </w:instrText>
    </w:r>
    <w:r w:rsidRPr="00BF5D43">
      <w:rPr>
        <w:rFonts w:asciiTheme="majorHAnsi" w:hAnsiTheme="majorHAnsi"/>
        <w:b/>
        <w:sz w:val="22"/>
        <w:szCs w:val="22"/>
      </w:rPr>
      <w:fldChar w:fldCharType="separate"/>
    </w:r>
    <w:r w:rsidR="0007215E">
      <w:rPr>
        <w:rFonts w:asciiTheme="majorHAnsi" w:hAnsiTheme="majorHAnsi"/>
        <w:b/>
        <w:noProof/>
        <w:sz w:val="22"/>
        <w:szCs w:val="22"/>
      </w:rPr>
      <w:t>1</w:t>
    </w:r>
    <w:r w:rsidRPr="00BF5D43">
      <w:rPr>
        <w:rFonts w:asciiTheme="majorHAnsi" w:hAnsiTheme="majorHAnsi"/>
        <w:b/>
        <w:sz w:val="22"/>
        <w:szCs w:val="22"/>
      </w:rPr>
      <w:fldChar w:fldCharType="end"/>
    </w:r>
    <w:r w:rsidRPr="00BF5D43">
      <w:rPr>
        <w:rFonts w:asciiTheme="majorHAnsi" w:hAnsiTheme="majorHAnsi"/>
        <w:sz w:val="22"/>
        <w:szCs w:val="22"/>
      </w:rPr>
      <w:t xml:space="preserve"> of </w:t>
    </w:r>
    <w:r w:rsidRPr="00BF5D43">
      <w:rPr>
        <w:rFonts w:asciiTheme="majorHAnsi" w:hAnsiTheme="majorHAnsi"/>
        <w:b/>
        <w:sz w:val="22"/>
        <w:szCs w:val="22"/>
      </w:rPr>
      <w:fldChar w:fldCharType="begin"/>
    </w:r>
    <w:r w:rsidRPr="00BF5D43">
      <w:rPr>
        <w:rFonts w:asciiTheme="majorHAnsi" w:hAnsiTheme="majorHAnsi"/>
        <w:b/>
        <w:sz w:val="22"/>
        <w:szCs w:val="22"/>
      </w:rPr>
      <w:instrText xml:space="preserve"> NUMPAGES  \* Arabic  \* MERGEFORMAT </w:instrText>
    </w:r>
    <w:r w:rsidRPr="00BF5D43">
      <w:rPr>
        <w:rFonts w:asciiTheme="majorHAnsi" w:hAnsiTheme="majorHAnsi"/>
        <w:b/>
        <w:sz w:val="22"/>
        <w:szCs w:val="22"/>
      </w:rPr>
      <w:fldChar w:fldCharType="separate"/>
    </w:r>
    <w:r w:rsidR="0007215E">
      <w:rPr>
        <w:rFonts w:asciiTheme="majorHAnsi" w:hAnsiTheme="majorHAnsi"/>
        <w:b/>
        <w:noProof/>
        <w:sz w:val="22"/>
        <w:szCs w:val="22"/>
      </w:rPr>
      <w:t>1</w:t>
    </w:r>
    <w:r w:rsidRPr="00BF5D43">
      <w:rPr>
        <w:rFonts w:asciiTheme="majorHAnsi" w:hAnsiTheme="majorHAnsi"/>
        <w:b/>
        <w:sz w:val="22"/>
        <w:szCs w:val="22"/>
      </w:rPr>
      <w:fldChar w:fldCharType="end"/>
    </w:r>
    <w:r w:rsidRPr="00BF5D43">
      <w:rPr>
        <w:rFonts w:asciiTheme="majorHAnsi" w:hAnsiTheme="majorHAnsi"/>
        <w:sz w:val="22"/>
        <w:szCs w:val="22"/>
      </w:rPr>
      <w:ptab w:relativeTo="margin" w:alignment="center" w:leader="none"/>
    </w:r>
    <w:r w:rsidRPr="00BF5D43">
      <w:rPr>
        <w:rFonts w:asciiTheme="majorHAnsi" w:hAnsiTheme="majorHAnsi"/>
        <w:sz w:val="22"/>
        <w:szCs w:val="22"/>
      </w:rPr>
      <w:t>Effective Date:</w:t>
    </w:r>
    <w:r>
      <w:rPr>
        <w:rFonts w:asciiTheme="majorHAnsi" w:hAnsiTheme="majorHAnsi"/>
        <w:sz w:val="22"/>
        <w:szCs w:val="22"/>
      </w:rPr>
      <w:t xml:space="preserve"> </w:t>
    </w:r>
    <w:sdt>
      <w:sdtPr>
        <w:rPr>
          <w:rFonts w:asciiTheme="majorHAnsi" w:hAnsiTheme="majorHAnsi"/>
          <w:sz w:val="22"/>
          <w:szCs w:val="22"/>
        </w:rPr>
        <w:alias w:val="Effective Date"/>
        <w:tag w:val="UNDP_POPP_EFFECTIVEDATE"/>
        <w:id w:val="871878012"/>
        <w:placeholder>
          <w:docPart w:val="B1992C68484D4243988D495CB8F86BF2"/>
        </w:placeholder>
        <w:dataBinding w:prefixMappings="xmlns:ns0='http://schemas.microsoft.com/office/2006/metadata/properties' xmlns:ns1='http://www.w3.org/2001/XMLSchema-instance' xmlns:ns2='http://schemas.microsoft.com/office/infopath/2007/PartnerControls' xmlns:ns3='8264c5cc-ec60-4b56-8111-ce635d3d139a' xmlns:ns4='e560140e-7b2f-4392-90df-e7567e3021a3' " w:xpath="/ns0:properties[1]/documentManagement[1]/ns3:UNDP_POPP_EFFECTIVEDATE[1]" w:storeItemID="{15B243C3-A726-4697-A075-A6D3D6EC7181}"/>
        <w:date w:fullDate="2020-08-17T18:00:00Z">
          <w:dateFormat w:val="dd/MM/yyyy"/>
          <w:lid w:val="en-US"/>
          <w:storeMappedDataAs w:val="dateTime"/>
          <w:calendar w:val="gregorian"/>
        </w:date>
      </w:sdtPr>
      <w:sdtEndPr/>
      <w:sdtContent>
        <w:r w:rsidR="00F72A19">
          <w:rPr>
            <w:rFonts w:asciiTheme="majorHAnsi" w:hAnsiTheme="majorHAnsi"/>
            <w:sz w:val="22"/>
            <w:szCs w:val="22"/>
          </w:rPr>
          <w:t>17/08/2020</w:t>
        </w:r>
      </w:sdtContent>
    </w:sdt>
    <w:r w:rsidRPr="00BF5D43">
      <w:rPr>
        <w:rFonts w:asciiTheme="majorHAnsi" w:hAnsiTheme="majorHAnsi"/>
        <w:sz w:val="22"/>
        <w:szCs w:val="22"/>
      </w:rPr>
      <w:ptab w:relativeTo="margin" w:alignment="right" w:leader="none"/>
    </w:r>
    <w:r w:rsidRPr="00BF5D43">
      <w:rPr>
        <w:rFonts w:asciiTheme="majorHAnsi" w:hAnsiTheme="majorHAnsi"/>
        <w:sz w:val="22"/>
        <w:szCs w:val="22"/>
      </w:rPr>
      <w:t>Version #:</w:t>
    </w:r>
    <w:r>
      <w:rPr>
        <w:rFonts w:asciiTheme="majorHAnsi" w:hAnsiTheme="majorHAnsi"/>
        <w:sz w:val="22"/>
        <w:szCs w:val="22"/>
      </w:rPr>
      <w:t xml:space="preserve"> </w:t>
    </w:r>
    <w:sdt>
      <w:sdtPr>
        <w:rPr>
          <w:rFonts w:asciiTheme="majorHAnsi" w:hAnsiTheme="majorHAnsi"/>
          <w:sz w:val="22"/>
          <w:szCs w:val="22"/>
        </w:rPr>
        <w:alias w:val="POPPRefItemVersion"/>
        <w:tag w:val="UNDP_POPP_REFITEM_VERSION"/>
        <w:id w:val="1741753060"/>
        <w:placeholder>
          <w:docPart w:val="A74217E9DAD4494CA2B48EE9B2BC1943"/>
        </w:placeholder>
        <w:dataBinding w:prefixMappings="xmlns:ns0='http://schemas.microsoft.com/office/2006/metadata/properties' xmlns:ns1='http://www.w3.org/2001/XMLSchema-instance' xmlns:ns2='http://schemas.microsoft.com/office/infopath/2007/PartnerControls' xmlns:ns3='8264c5cc-ec60-4b56-8111-ce635d3d139a' xmlns:ns4='e560140e-7b2f-4392-90df-e7567e3021a3' " w:xpath="/ns0:properties[1]/documentManagement[1]/ns3:UNDP_POPP_REFITEM_VERSION[1]" w:storeItemID="{15B243C3-A726-4697-A075-A6D3D6EC7181}"/>
        <w:text/>
      </w:sdtPr>
      <w:sdtEndPr/>
      <w:sdtContent>
        <w:r w:rsidR="00F72A19">
          <w:rPr>
            <w:rFonts w:asciiTheme="majorHAnsi" w:hAnsiTheme="majorHAnsi"/>
            <w:sz w:val="22"/>
            <w:szCs w:val="22"/>
          </w:rPr>
          <w:t>8</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533141" w14:textId="77777777" w:rsidR="00BF5D43" w:rsidRDefault="00BF5D43">
    <w:pPr>
      <w:pStyle w:val="Footer"/>
      <w:rPr>
        <w:rFonts w:asciiTheme="majorHAnsi" w:hAnsiTheme="majorHAnsi"/>
        <w:sz w:val="22"/>
        <w:szCs w:val="22"/>
      </w:rPr>
    </w:pPr>
  </w:p>
  <w:p w14:paraId="59956F17" w14:textId="0D02155C" w:rsidR="00BF5D43" w:rsidRPr="00BF5D43" w:rsidRDefault="00BF5D43">
    <w:pPr>
      <w:pStyle w:val="Footer"/>
      <w:rPr>
        <w:rFonts w:asciiTheme="majorHAnsi" w:hAnsiTheme="majorHAnsi"/>
        <w:sz w:val="22"/>
        <w:szCs w:val="22"/>
      </w:rPr>
    </w:pPr>
    <w:r w:rsidRPr="00BF5D43">
      <w:rPr>
        <w:rFonts w:asciiTheme="majorHAnsi" w:hAnsiTheme="majorHAnsi"/>
        <w:sz w:val="22"/>
        <w:szCs w:val="22"/>
      </w:rPr>
      <w:t xml:space="preserve">Page </w:t>
    </w:r>
    <w:r w:rsidRPr="00BF5D43">
      <w:rPr>
        <w:rFonts w:asciiTheme="majorHAnsi" w:hAnsiTheme="majorHAnsi"/>
        <w:b/>
        <w:sz w:val="22"/>
        <w:szCs w:val="22"/>
      </w:rPr>
      <w:fldChar w:fldCharType="begin"/>
    </w:r>
    <w:r w:rsidRPr="00BF5D43">
      <w:rPr>
        <w:rFonts w:asciiTheme="majorHAnsi" w:hAnsiTheme="majorHAnsi"/>
        <w:b/>
        <w:sz w:val="22"/>
        <w:szCs w:val="22"/>
      </w:rPr>
      <w:instrText xml:space="preserve"> PAGE  \* Arabic  \* MERGEFORMAT </w:instrText>
    </w:r>
    <w:r w:rsidRPr="00BF5D43">
      <w:rPr>
        <w:rFonts w:asciiTheme="majorHAnsi" w:hAnsiTheme="majorHAnsi"/>
        <w:b/>
        <w:sz w:val="22"/>
        <w:szCs w:val="22"/>
      </w:rPr>
      <w:fldChar w:fldCharType="separate"/>
    </w:r>
    <w:r>
      <w:rPr>
        <w:rFonts w:asciiTheme="majorHAnsi" w:hAnsiTheme="majorHAnsi"/>
        <w:b/>
        <w:noProof/>
        <w:sz w:val="22"/>
        <w:szCs w:val="22"/>
      </w:rPr>
      <w:t>1</w:t>
    </w:r>
    <w:r w:rsidRPr="00BF5D43">
      <w:rPr>
        <w:rFonts w:asciiTheme="majorHAnsi" w:hAnsiTheme="majorHAnsi"/>
        <w:b/>
        <w:sz w:val="22"/>
        <w:szCs w:val="22"/>
      </w:rPr>
      <w:fldChar w:fldCharType="end"/>
    </w:r>
    <w:r w:rsidRPr="00BF5D43">
      <w:rPr>
        <w:rFonts w:asciiTheme="majorHAnsi" w:hAnsiTheme="majorHAnsi"/>
        <w:sz w:val="22"/>
        <w:szCs w:val="22"/>
      </w:rPr>
      <w:t xml:space="preserve"> of </w:t>
    </w:r>
    <w:r w:rsidRPr="00BF5D43">
      <w:rPr>
        <w:rFonts w:asciiTheme="majorHAnsi" w:hAnsiTheme="majorHAnsi"/>
        <w:b/>
        <w:sz w:val="22"/>
        <w:szCs w:val="22"/>
      </w:rPr>
      <w:fldChar w:fldCharType="begin"/>
    </w:r>
    <w:r w:rsidRPr="00BF5D43">
      <w:rPr>
        <w:rFonts w:asciiTheme="majorHAnsi" w:hAnsiTheme="majorHAnsi"/>
        <w:b/>
        <w:sz w:val="22"/>
        <w:szCs w:val="22"/>
      </w:rPr>
      <w:instrText xml:space="preserve"> NUMPAGES  \* Arabic  \* MERGEFORMAT </w:instrText>
    </w:r>
    <w:r w:rsidRPr="00BF5D43">
      <w:rPr>
        <w:rFonts w:asciiTheme="majorHAnsi" w:hAnsiTheme="majorHAnsi"/>
        <w:b/>
        <w:sz w:val="22"/>
        <w:szCs w:val="22"/>
      </w:rPr>
      <w:fldChar w:fldCharType="separate"/>
    </w:r>
    <w:r>
      <w:rPr>
        <w:rFonts w:asciiTheme="majorHAnsi" w:hAnsiTheme="majorHAnsi"/>
        <w:b/>
        <w:noProof/>
        <w:sz w:val="22"/>
        <w:szCs w:val="22"/>
      </w:rPr>
      <w:t>5</w:t>
    </w:r>
    <w:r w:rsidRPr="00BF5D43">
      <w:rPr>
        <w:rFonts w:asciiTheme="majorHAnsi" w:hAnsiTheme="majorHAnsi"/>
        <w:b/>
        <w:sz w:val="22"/>
        <w:szCs w:val="22"/>
      </w:rPr>
      <w:fldChar w:fldCharType="end"/>
    </w:r>
    <w:r w:rsidRPr="00BF5D43">
      <w:rPr>
        <w:rFonts w:asciiTheme="majorHAnsi" w:hAnsiTheme="majorHAnsi"/>
        <w:sz w:val="22"/>
        <w:szCs w:val="22"/>
      </w:rPr>
      <w:ptab w:relativeTo="margin" w:alignment="center" w:leader="none"/>
    </w:r>
    <w:r w:rsidRPr="00BF5D43">
      <w:rPr>
        <w:rFonts w:asciiTheme="majorHAnsi" w:hAnsiTheme="majorHAnsi"/>
        <w:sz w:val="22"/>
        <w:szCs w:val="22"/>
      </w:rPr>
      <w:t>Effective Date:</w:t>
    </w:r>
    <w:r>
      <w:rPr>
        <w:rFonts w:asciiTheme="majorHAnsi" w:hAnsiTheme="majorHAnsi"/>
        <w:sz w:val="22"/>
        <w:szCs w:val="22"/>
      </w:rPr>
      <w:t xml:space="preserve"> </w:t>
    </w:r>
    <w:sdt>
      <w:sdtPr>
        <w:rPr>
          <w:rFonts w:asciiTheme="majorHAnsi" w:hAnsiTheme="majorHAnsi"/>
          <w:sz w:val="22"/>
          <w:szCs w:val="22"/>
          <w:lang w:val="en-GB"/>
        </w:rPr>
        <w:alias w:val="Effective Date"/>
        <w:tag w:val="UNDP_POPP_EFFECTIVEDATE"/>
        <w:id w:val="588976823"/>
        <w:placeholder>
          <w:docPart w:val="9D9FFA76BB264CB1AAA9C516E5872875"/>
        </w:placeholder>
        <w:dataBinding w:prefixMappings="xmlns:ns0='http://schemas.microsoft.com/office/2006/metadata/properties' xmlns:ns1='http://www.w3.org/2001/XMLSchema-instance' xmlns:ns2='http://schemas.microsoft.com/office/infopath/2007/PartnerControls' xmlns:ns3='8264c5cc-ec60-4b56-8111-ce635d3d139a' xmlns:ns4='e560140e-7b2f-4392-90df-e7567e3021a3' " w:xpath="/ns0:properties[1]/documentManagement[1]/ns3:UNDP_POPP_EFFECTIVEDATE[1]" w:storeItemID="{15B243C3-A726-4697-A075-A6D3D6EC7181}"/>
        <w:date w:fullDate="2020-08-17T18:00:00Z">
          <w:dateFormat w:val="dd/MM/yyyy"/>
          <w:lid w:val="en-US"/>
          <w:storeMappedDataAs w:val="dateTime"/>
          <w:calendar w:val="gregorian"/>
        </w:date>
      </w:sdtPr>
      <w:sdtEndPr/>
      <w:sdtContent>
        <w:r w:rsidR="00F72A19">
          <w:rPr>
            <w:rFonts w:asciiTheme="majorHAnsi" w:hAnsiTheme="majorHAnsi"/>
            <w:sz w:val="22"/>
            <w:szCs w:val="22"/>
          </w:rPr>
          <w:t>17/08/2020</w:t>
        </w:r>
      </w:sdtContent>
    </w:sdt>
    <w:r w:rsidRPr="00BF5D43">
      <w:rPr>
        <w:rFonts w:asciiTheme="majorHAnsi" w:hAnsiTheme="majorHAnsi"/>
        <w:sz w:val="22"/>
        <w:szCs w:val="22"/>
      </w:rPr>
      <w:ptab w:relativeTo="margin" w:alignment="right" w:leader="none"/>
    </w:r>
    <w:r w:rsidRPr="00BF5D43">
      <w:rPr>
        <w:rFonts w:asciiTheme="majorHAnsi" w:hAnsiTheme="majorHAnsi"/>
        <w:sz w:val="22"/>
        <w:szCs w:val="22"/>
      </w:rPr>
      <w:t>Version #:</w:t>
    </w:r>
    <w:r>
      <w:rPr>
        <w:rFonts w:asciiTheme="majorHAnsi" w:hAnsiTheme="majorHAnsi"/>
        <w:sz w:val="22"/>
        <w:szCs w:val="22"/>
      </w:rPr>
      <w:t xml:space="preserve"> </w:t>
    </w:r>
    <w:sdt>
      <w:sdtPr>
        <w:rPr>
          <w:rFonts w:asciiTheme="majorHAnsi" w:hAnsiTheme="majorHAnsi"/>
          <w:sz w:val="22"/>
          <w:szCs w:val="22"/>
        </w:rPr>
        <w:alias w:val="POPPRefItemVersion"/>
        <w:tag w:val="UNDP_POPP_REFITEM_VERSION"/>
        <w:id w:val="935481089"/>
        <w:placeholder>
          <w:docPart w:val="D4AFABF47C884A3BBB12969CE9EA09DD"/>
        </w:placeholder>
        <w:dataBinding w:prefixMappings="xmlns:ns0='http://schemas.microsoft.com/office/2006/metadata/properties' xmlns:ns1='http://www.w3.org/2001/XMLSchema-instance' xmlns:ns2='http://schemas.microsoft.com/office/infopath/2007/PartnerControls' xmlns:ns3='8264c5cc-ec60-4b56-8111-ce635d3d139a' xmlns:ns4='e560140e-7b2f-4392-90df-e7567e3021a3' " w:xpath="/ns0:properties[1]/documentManagement[1]/ns3:UNDP_POPP_REFITEM_VERSION[1]" w:storeItemID="{15B243C3-A726-4697-A075-A6D3D6EC7181}"/>
        <w:text/>
      </w:sdtPr>
      <w:sdtEndPr/>
      <w:sdtContent>
        <w:r w:rsidR="00F72A19">
          <w:rPr>
            <w:rFonts w:asciiTheme="majorHAnsi" w:hAnsiTheme="majorHAnsi"/>
            <w:sz w:val="22"/>
            <w:szCs w:val="22"/>
          </w:rPr>
          <w:t>8</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689C4C" w14:textId="77777777" w:rsidR="007F31CF" w:rsidRDefault="007F31CF" w:rsidP="006A295A">
      <w:r>
        <w:separator/>
      </w:r>
    </w:p>
  </w:footnote>
  <w:footnote w:type="continuationSeparator" w:id="0">
    <w:p w14:paraId="0A379EBD" w14:textId="77777777" w:rsidR="007F31CF" w:rsidRDefault="007F31CF" w:rsidP="006A295A">
      <w:r>
        <w:continuationSeparator/>
      </w:r>
    </w:p>
  </w:footnote>
  <w:footnote w:id="1">
    <w:p w14:paraId="5B238DC1" w14:textId="77777777" w:rsidR="00B04290" w:rsidRPr="007519E4" w:rsidRDefault="00B04290" w:rsidP="00B04290">
      <w:pPr>
        <w:pStyle w:val="FootnoteText"/>
        <w:rPr>
          <w:rFonts w:asciiTheme="majorHAnsi" w:hAnsiTheme="majorHAnsi" w:cstheme="majorHAnsi"/>
        </w:rPr>
      </w:pPr>
      <w:r w:rsidRPr="007519E4">
        <w:rPr>
          <w:rStyle w:val="FootnoteReference"/>
          <w:rFonts w:asciiTheme="majorHAnsi" w:hAnsiTheme="majorHAnsi" w:cstheme="majorHAnsi"/>
        </w:rPr>
        <w:footnoteRef/>
      </w:r>
      <w:r w:rsidRPr="007519E4">
        <w:rPr>
          <w:rFonts w:asciiTheme="majorHAnsi" w:hAnsiTheme="majorHAnsi" w:cstheme="majorHAnsi"/>
        </w:rPr>
        <w:t xml:space="preserve"> </w:t>
      </w:r>
      <w:r w:rsidRPr="007519E4">
        <w:rPr>
          <w:rFonts w:asciiTheme="majorHAnsi" w:hAnsiTheme="majorHAnsi" w:cstheme="majorHAnsi"/>
          <w:sz w:val="18"/>
          <w:szCs w:val="18"/>
        </w:rPr>
        <w:t>The UNSMS includes three safety areas namely i. Aviation Safety ii. Road Safety iii. Fire Safety</w:t>
      </w:r>
      <w:r w:rsidRPr="007519E4">
        <w:rPr>
          <w:rFonts w:asciiTheme="majorHAnsi" w:hAnsiTheme="majorHAnsi" w:cstheme="majorHAns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CA8DF1" w14:textId="77777777" w:rsidR="00BF5D43" w:rsidRDefault="00BF5D43" w:rsidP="00BF5D43">
    <w:pPr>
      <w:pStyle w:val="Header"/>
      <w:jc w:val="right"/>
    </w:pPr>
    <w:r>
      <w:rPr>
        <w:noProof/>
      </w:rPr>
      <w:drawing>
        <wp:inline distT="0" distB="0" distL="0" distR="0" wp14:anchorId="4AC9B88D" wp14:editId="37B9C400">
          <wp:extent cx="304800" cy="703072"/>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undp-300.png"/>
                  <pic:cNvPicPr/>
                </pic:nvPicPr>
                <pic:blipFill>
                  <a:blip r:embed="rId1">
                    <a:extLst>
                      <a:ext uri="{28A0092B-C50C-407E-A947-70E740481C1C}">
                        <a14:useLocalDpi xmlns:a14="http://schemas.microsoft.com/office/drawing/2010/main" val="0"/>
                      </a:ext>
                    </a:extLst>
                  </a:blip>
                  <a:stretch>
                    <a:fillRect/>
                  </a:stretch>
                </pic:blipFill>
                <pic:spPr>
                  <a:xfrm>
                    <a:off x="0" y="0"/>
                    <a:ext cx="309317" cy="713491"/>
                  </a:xfrm>
                  <a:prstGeom prst="rect">
                    <a:avLst/>
                  </a:prstGeom>
                </pic:spPr>
              </pic:pic>
            </a:graphicData>
          </a:graphic>
        </wp:inline>
      </w:drawing>
    </w:r>
  </w:p>
  <w:p w14:paraId="7FB40B86" w14:textId="77777777" w:rsidR="00BF5D43" w:rsidRDefault="00BF5D43" w:rsidP="00BF5D4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D6F694" w14:textId="47D40C16" w:rsidR="00BF5D43" w:rsidRDefault="00BF5D43" w:rsidP="00BF5D43">
    <w:pPr>
      <w:pStyle w:val="Header"/>
      <w:jc w:val="right"/>
    </w:pPr>
  </w:p>
  <w:p w14:paraId="14BE3C06" w14:textId="77777777" w:rsidR="00BF5D43" w:rsidRDefault="00BF5D43" w:rsidP="00BF5D4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F104A"/>
    <w:multiLevelType w:val="hybridMultilevel"/>
    <w:tmpl w:val="B3D43FFE"/>
    <w:lvl w:ilvl="0" w:tplc="0FE2C05A">
      <w:start w:val="5"/>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9B0691"/>
    <w:multiLevelType w:val="hybridMultilevel"/>
    <w:tmpl w:val="D69E105A"/>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D65CE"/>
    <w:multiLevelType w:val="hybridMultilevel"/>
    <w:tmpl w:val="96582396"/>
    <w:lvl w:ilvl="0" w:tplc="071E690E">
      <w:start w:val="1"/>
      <w:numFmt w:val="lowerLetter"/>
      <w:lvlText w:val="%1."/>
      <w:lvlJc w:val="left"/>
      <w:pPr>
        <w:ind w:left="720" w:hanging="360"/>
      </w:pPr>
    </w:lvl>
    <w:lvl w:ilvl="1" w:tplc="C2528020">
      <w:start w:val="1"/>
      <w:numFmt w:val="lowerLetter"/>
      <w:lvlText w:val="%2."/>
      <w:lvlJc w:val="left"/>
      <w:pPr>
        <w:ind w:left="1440" w:hanging="360"/>
      </w:pPr>
    </w:lvl>
    <w:lvl w:ilvl="2" w:tplc="AB12719A">
      <w:start w:val="1"/>
      <w:numFmt w:val="lowerRoman"/>
      <w:lvlText w:val="%3."/>
      <w:lvlJc w:val="right"/>
      <w:pPr>
        <w:ind w:left="2160" w:hanging="180"/>
      </w:pPr>
    </w:lvl>
    <w:lvl w:ilvl="3" w:tplc="0D08491E">
      <w:start w:val="1"/>
      <w:numFmt w:val="decimal"/>
      <w:lvlText w:val="III.%4."/>
      <w:lvlJc w:val="left"/>
      <w:pPr>
        <w:ind w:left="2880" w:hanging="360"/>
      </w:pPr>
      <w:rPr>
        <w:rFonts w:hint="default"/>
        <w:b/>
        <w:bCs/>
        <w:sz w:val="20"/>
        <w:szCs w:val="20"/>
      </w:rPr>
    </w:lvl>
    <w:lvl w:ilvl="4" w:tplc="41B4293C">
      <w:start w:val="1"/>
      <w:numFmt w:val="lowerLetter"/>
      <w:lvlText w:val="%5."/>
      <w:lvlJc w:val="left"/>
      <w:pPr>
        <w:ind w:left="3600" w:hanging="360"/>
      </w:pPr>
    </w:lvl>
    <w:lvl w:ilvl="5" w:tplc="5BA2CAF2">
      <w:start w:val="1"/>
      <w:numFmt w:val="lowerRoman"/>
      <w:lvlText w:val="%6."/>
      <w:lvlJc w:val="right"/>
      <w:pPr>
        <w:ind w:left="4320" w:hanging="180"/>
      </w:pPr>
    </w:lvl>
    <w:lvl w:ilvl="6" w:tplc="45064454">
      <w:start w:val="1"/>
      <w:numFmt w:val="decimal"/>
      <w:lvlText w:val="%7."/>
      <w:lvlJc w:val="left"/>
      <w:pPr>
        <w:ind w:left="5040" w:hanging="360"/>
      </w:pPr>
    </w:lvl>
    <w:lvl w:ilvl="7" w:tplc="9CB8B1E4">
      <w:start w:val="1"/>
      <w:numFmt w:val="lowerLetter"/>
      <w:lvlText w:val="%8."/>
      <w:lvlJc w:val="left"/>
      <w:pPr>
        <w:ind w:left="5760" w:hanging="360"/>
      </w:pPr>
    </w:lvl>
    <w:lvl w:ilvl="8" w:tplc="F7B22140">
      <w:start w:val="1"/>
      <w:numFmt w:val="lowerRoman"/>
      <w:lvlText w:val="%9."/>
      <w:lvlJc w:val="right"/>
      <w:pPr>
        <w:ind w:left="6480" w:hanging="180"/>
      </w:pPr>
    </w:lvl>
  </w:abstractNum>
  <w:abstractNum w:abstractNumId="3" w15:restartNumberingAfterBreak="0">
    <w:nsid w:val="0B8649E8"/>
    <w:multiLevelType w:val="hybridMultilevel"/>
    <w:tmpl w:val="1AEAD93E"/>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BC3376"/>
    <w:multiLevelType w:val="multilevel"/>
    <w:tmpl w:val="DE1090B8"/>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EDD5E44"/>
    <w:multiLevelType w:val="multilevel"/>
    <w:tmpl w:val="5E6A6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DC0FD8"/>
    <w:multiLevelType w:val="hybridMultilevel"/>
    <w:tmpl w:val="6D9438B2"/>
    <w:lvl w:ilvl="0" w:tplc="04090017">
      <w:start w:val="1"/>
      <w:numFmt w:val="low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E85FD0"/>
    <w:multiLevelType w:val="hybridMultilevel"/>
    <w:tmpl w:val="FBC8DC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D5474D"/>
    <w:multiLevelType w:val="hybridMultilevel"/>
    <w:tmpl w:val="32A2CC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4C33BB4"/>
    <w:multiLevelType w:val="hybridMultilevel"/>
    <w:tmpl w:val="481EF59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8482AAA"/>
    <w:multiLevelType w:val="hybridMultilevel"/>
    <w:tmpl w:val="8D4875AE"/>
    <w:lvl w:ilvl="0" w:tplc="9E2A2ACE">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3B1232"/>
    <w:multiLevelType w:val="hybridMultilevel"/>
    <w:tmpl w:val="865873A6"/>
    <w:lvl w:ilvl="0" w:tplc="04090019">
      <w:start w:val="1"/>
      <w:numFmt w:val="lowerLetter"/>
      <w:lvlText w:val="%1."/>
      <w:lvlJc w:val="left"/>
      <w:pPr>
        <w:ind w:left="1499" w:hanging="360"/>
      </w:pPr>
    </w:lvl>
    <w:lvl w:ilvl="1" w:tplc="04090019" w:tentative="1">
      <w:start w:val="1"/>
      <w:numFmt w:val="lowerLetter"/>
      <w:lvlText w:val="%2."/>
      <w:lvlJc w:val="left"/>
      <w:pPr>
        <w:ind w:left="2219" w:hanging="360"/>
      </w:pPr>
    </w:lvl>
    <w:lvl w:ilvl="2" w:tplc="0409001B" w:tentative="1">
      <w:start w:val="1"/>
      <w:numFmt w:val="lowerRoman"/>
      <w:lvlText w:val="%3."/>
      <w:lvlJc w:val="right"/>
      <w:pPr>
        <w:ind w:left="2939" w:hanging="180"/>
      </w:pPr>
    </w:lvl>
    <w:lvl w:ilvl="3" w:tplc="0409000F" w:tentative="1">
      <w:start w:val="1"/>
      <w:numFmt w:val="decimal"/>
      <w:lvlText w:val="%4."/>
      <w:lvlJc w:val="left"/>
      <w:pPr>
        <w:ind w:left="3659" w:hanging="360"/>
      </w:pPr>
    </w:lvl>
    <w:lvl w:ilvl="4" w:tplc="04090019" w:tentative="1">
      <w:start w:val="1"/>
      <w:numFmt w:val="lowerLetter"/>
      <w:lvlText w:val="%5."/>
      <w:lvlJc w:val="left"/>
      <w:pPr>
        <w:ind w:left="4379" w:hanging="360"/>
      </w:pPr>
    </w:lvl>
    <w:lvl w:ilvl="5" w:tplc="0409001B" w:tentative="1">
      <w:start w:val="1"/>
      <w:numFmt w:val="lowerRoman"/>
      <w:lvlText w:val="%6."/>
      <w:lvlJc w:val="right"/>
      <w:pPr>
        <w:ind w:left="5099" w:hanging="180"/>
      </w:pPr>
    </w:lvl>
    <w:lvl w:ilvl="6" w:tplc="0409000F" w:tentative="1">
      <w:start w:val="1"/>
      <w:numFmt w:val="decimal"/>
      <w:lvlText w:val="%7."/>
      <w:lvlJc w:val="left"/>
      <w:pPr>
        <w:ind w:left="5819" w:hanging="360"/>
      </w:pPr>
    </w:lvl>
    <w:lvl w:ilvl="7" w:tplc="04090019" w:tentative="1">
      <w:start w:val="1"/>
      <w:numFmt w:val="lowerLetter"/>
      <w:lvlText w:val="%8."/>
      <w:lvlJc w:val="left"/>
      <w:pPr>
        <w:ind w:left="6539" w:hanging="360"/>
      </w:pPr>
    </w:lvl>
    <w:lvl w:ilvl="8" w:tplc="0409001B" w:tentative="1">
      <w:start w:val="1"/>
      <w:numFmt w:val="lowerRoman"/>
      <w:lvlText w:val="%9."/>
      <w:lvlJc w:val="right"/>
      <w:pPr>
        <w:ind w:left="7259" w:hanging="180"/>
      </w:pPr>
    </w:lvl>
  </w:abstractNum>
  <w:abstractNum w:abstractNumId="12" w15:restartNumberingAfterBreak="0">
    <w:nsid w:val="1F9A7B80"/>
    <w:multiLevelType w:val="hybridMultilevel"/>
    <w:tmpl w:val="5ECC35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2B12B61"/>
    <w:multiLevelType w:val="multilevel"/>
    <w:tmpl w:val="ACC6DBEE"/>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31B77B0"/>
    <w:multiLevelType w:val="multilevel"/>
    <w:tmpl w:val="BA363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9572F76"/>
    <w:multiLevelType w:val="multilevel"/>
    <w:tmpl w:val="DD744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E996C39"/>
    <w:multiLevelType w:val="hybridMultilevel"/>
    <w:tmpl w:val="073278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1AA7CDC"/>
    <w:multiLevelType w:val="hybridMultilevel"/>
    <w:tmpl w:val="2D602904"/>
    <w:lvl w:ilvl="0" w:tplc="E2F69262">
      <w:start w:val="16"/>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C14932"/>
    <w:multiLevelType w:val="hybridMultilevel"/>
    <w:tmpl w:val="4994029E"/>
    <w:lvl w:ilvl="0" w:tplc="E36068FE">
      <w:start w:val="1"/>
      <w:numFmt w:val="bullet"/>
      <w:pStyle w:val="BulletedLis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 w15:restartNumberingAfterBreak="0">
    <w:nsid w:val="33A62F25"/>
    <w:multiLevelType w:val="hybridMultilevel"/>
    <w:tmpl w:val="FFFFFFFF"/>
    <w:lvl w:ilvl="0" w:tplc="9E2A2ACE">
      <w:start w:val="1"/>
      <w:numFmt w:val="lowerLetter"/>
      <w:lvlText w:val="%1."/>
      <w:lvlJc w:val="left"/>
      <w:pPr>
        <w:ind w:left="720" w:hanging="360"/>
      </w:pPr>
    </w:lvl>
    <w:lvl w:ilvl="1" w:tplc="88605F92">
      <w:start w:val="1"/>
      <w:numFmt w:val="lowerLetter"/>
      <w:lvlText w:val="%2."/>
      <w:lvlJc w:val="left"/>
      <w:pPr>
        <w:ind w:left="1440" w:hanging="360"/>
      </w:pPr>
    </w:lvl>
    <w:lvl w:ilvl="2" w:tplc="FAEA6C50">
      <w:start w:val="1"/>
      <w:numFmt w:val="lowerRoman"/>
      <w:lvlText w:val="%3."/>
      <w:lvlJc w:val="right"/>
      <w:pPr>
        <w:ind w:left="2160" w:hanging="180"/>
      </w:pPr>
    </w:lvl>
    <w:lvl w:ilvl="3" w:tplc="929E2462">
      <w:start w:val="1"/>
      <w:numFmt w:val="decimal"/>
      <w:lvlText w:val="%4."/>
      <w:lvlJc w:val="left"/>
      <w:pPr>
        <w:ind w:left="2880" w:hanging="360"/>
      </w:pPr>
    </w:lvl>
    <w:lvl w:ilvl="4" w:tplc="4B22B6CA">
      <w:start w:val="1"/>
      <w:numFmt w:val="lowerLetter"/>
      <w:lvlText w:val="%5."/>
      <w:lvlJc w:val="left"/>
      <w:pPr>
        <w:ind w:left="3600" w:hanging="360"/>
      </w:pPr>
    </w:lvl>
    <w:lvl w:ilvl="5" w:tplc="16D2B9FA">
      <w:start w:val="1"/>
      <w:numFmt w:val="lowerRoman"/>
      <w:lvlText w:val="%6."/>
      <w:lvlJc w:val="right"/>
      <w:pPr>
        <w:ind w:left="4320" w:hanging="180"/>
      </w:pPr>
    </w:lvl>
    <w:lvl w:ilvl="6" w:tplc="28106946">
      <w:start w:val="1"/>
      <w:numFmt w:val="decimal"/>
      <w:lvlText w:val="%7."/>
      <w:lvlJc w:val="left"/>
      <w:pPr>
        <w:ind w:left="5040" w:hanging="360"/>
      </w:pPr>
    </w:lvl>
    <w:lvl w:ilvl="7" w:tplc="0400C6C2">
      <w:start w:val="1"/>
      <w:numFmt w:val="lowerLetter"/>
      <w:lvlText w:val="%8."/>
      <w:lvlJc w:val="left"/>
      <w:pPr>
        <w:ind w:left="5760" w:hanging="360"/>
      </w:pPr>
    </w:lvl>
    <w:lvl w:ilvl="8" w:tplc="726E7766">
      <w:start w:val="1"/>
      <w:numFmt w:val="lowerRoman"/>
      <w:lvlText w:val="%9."/>
      <w:lvlJc w:val="right"/>
      <w:pPr>
        <w:ind w:left="6480" w:hanging="180"/>
      </w:pPr>
    </w:lvl>
  </w:abstractNum>
  <w:abstractNum w:abstractNumId="20" w15:restartNumberingAfterBreak="0">
    <w:nsid w:val="35595D45"/>
    <w:multiLevelType w:val="multilevel"/>
    <w:tmpl w:val="D8141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59E25E1"/>
    <w:multiLevelType w:val="hybridMultilevel"/>
    <w:tmpl w:val="86169734"/>
    <w:lvl w:ilvl="0" w:tplc="849A6CC6">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093BE9"/>
    <w:multiLevelType w:val="multilevel"/>
    <w:tmpl w:val="2A0ED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7B96827"/>
    <w:multiLevelType w:val="hybridMultilevel"/>
    <w:tmpl w:val="B7E69C5A"/>
    <w:lvl w:ilvl="0" w:tplc="0DDAA496">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7758A5"/>
    <w:multiLevelType w:val="multilevel"/>
    <w:tmpl w:val="FC086E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DA2426F"/>
    <w:multiLevelType w:val="hybridMultilevel"/>
    <w:tmpl w:val="AFDC0394"/>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FA31F5F"/>
    <w:multiLevelType w:val="hybridMultilevel"/>
    <w:tmpl w:val="6C2C65FC"/>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469D42AB"/>
    <w:multiLevelType w:val="hybridMultilevel"/>
    <w:tmpl w:val="BFAA7E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70F608B"/>
    <w:multiLevelType w:val="hybridMultilevel"/>
    <w:tmpl w:val="92C2BD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9D6453"/>
    <w:multiLevelType w:val="hybridMultilevel"/>
    <w:tmpl w:val="D92E6EB6"/>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4C33A6"/>
    <w:multiLevelType w:val="hybridMultilevel"/>
    <w:tmpl w:val="4B685B0C"/>
    <w:lvl w:ilvl="0" w:tplc="7D686B94">
      <w:start w:val="1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16616C"/>
    <w:multiLevelType w:val="hybridMultilevel"/>
    <w:tmpl w:val="618CD13E"/>
    <w:lvl w:ilvl="0" w:tplc="0409000F">
      <w:start w:val="1"/>
      <w:numFmt w:val="decimal"/>
      <w:lvlText w:val="%1."/>
      <w:lvlJc w:val="left"/>
      <w:pPr>
        <w:ind w:left="779" w:hanging="360"/>
      </w:pPr>
    </w:lvl>
    <w:lvl w:ilvl="1" w:tplc="04090019" w:tentative="1">
      <w:start w:val="1"/>
      <w:numFmt w:val="lowerLetter"/>
      <w:lvlText w:val="%2."/>
      <w:lvlJc w:val="left"/>
      <w:pPr>
        <w:ind w:left="1499" w:hanging="360"/>
      </w:pPr>
    </w:lvl>
    <w:lvl w:ilvl="2" w:tplc="0409001B" w:tentative="1">
      <w:start w:val="1"/>
      <w:numFmt w:val="lowerRoman"/>
      <w:lvlText w:val="%3."/>
      <w:lvlJc w:val="right"/>
      <w:pPr>
        <w:ind w:left="2219" w:hanging="180"/>
      </w:pPr>
    </w:lvl>
    <w:lvl w:ilvl="3" w:tplc="0409000F" w:tentative="1">
      <w:start w:val="1"/>
      <w:numFmt w:val="decimal"/>
      <w:lvlText w:val="%4."/>
      <w:lvlJc w:val="left"/>
      <w:pPr>
        <w:ind w:left="2939" w:hanging="360"/>
      </w:pPr>
    </w:lvl>
    <w:lvl w:ilvl="4" w:tplc="04090019" w:tentative="1">
      <w:start w:val="1"/>
      <w:numFmt w:val="lowerLetter"/>
      <w:lvlText w:val="%5."/>
      <w:lvlJc w:val="left"/>
      <w:pPr>
        <w:ind w:left="3659" w:hanging="360"/>
      </w:pPr>
    </w:lvl>
    <w:lvl w:ilvl="5" w:tplc="0409001B" w:tentative="1">
      <w:start w:val="1"/>
      <w:numFmt w:val="lowerRoman"/>
      <w:lvlText w:val="%6."/>
      <w:lvlJc w:val="right"/>
      <w:pPr>
        <w:ind w:left="4379" w:hanging="180"/>
      </w:pPr>
    </w:lvl>
    <w:lvl w:ilvl="6" w:tplc="0409000F" w:tentative="1">
      <w:start w:val="1"/>
      <w:numFmt w:val="decimal"/>
      <w:lvlText w:val="%7."/>
      <w:lvlJc w:val="left"/>
      <w:pPr>
        <w:ind w:left="5099" w:hanging="360"/>
      </w:pPr>
    </w:lvl>
    <w:lvl w:ilvl="7" w:tplc="04090019" w:tentative="1">
      <w:start w:val="1"/>
      <w:numFmt w:val="lowerLetter"/>
      <w:lvlText w:val="%8."/>
      <w:lvlJc w:val="left"/>
      <w:pPr>
        <w:ind w:left="5819" w:hanging="360"/>
      </w:pPr>
    </w:lvl>
    <w:lvl w:ilvl="8" w:tplc="0409001B" w:tentative="1">
      <w:start w:val="1"/>
      <w:numFmt w:val="lowerRoman"/>
      <w:lvlText w:val="%9."/>
      <w:lvlJc w:val="right"/>
      <w:pPr>
        <w:ind w:left="6539" w:hanging="180"/>
      </w:pPr>
    </w:lvl>
  </w:abstractNum>
  <w:abstractNum w:abstractNumId="32" w15:restartNumberingAfterBreak="0">
    <w:nsid w:val="53CF00E2"/>
    <w:multiLevelType w:val="multilevel"/>
    <w:tmpl w:val="1FD81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719278D"/>
    <w:multiLevelType w:val="hybridMultilevel"/>
    <w:tmpl w:val="2AC649BE"/>
    <w:lvl w:ilvl="0" w:tplc="7862BCD4">
      <w:start w:val="1"/>
      <w:numFmt w:val="lowerRoman"/>
      <w:lvlText w:val="%1."/>
      <w:lvlJc w:val="left"/>
      <w:pPr>
        <w:ind w:left="720" w:hanging="360"/>
      </w:pPr>
    </w:lvl>
    <w:lvl w:ilvl="1" w:tplc="B42ECAEE">
      <w:start w:val="1"/>
      <w:numFmt w:val="lowerLetter"/>
      <w:lvlText w:val="%2."/>
      <w:lvlJc w:val="left"/>
      <w:pPr>
        <w:ind w:left="1440" w:hanging="360"/>
      </w:pPr>
    </w:lvl>
    <w:lvl w:ilvl="2" w:tplc="8FBA5F54">
      <w:start w:val="1"/>
      <w:numFmt w:val="lowerRoman"/>
      <w:lvlText w:val="%3."/>
      <w:lvlJc w:val="right"/>
      <w:pPr>
        <w:ind w:left="2160" w:hanging="180"/>
      </w:pPr>
    </w:lvl>
    <w:lvl w:ilvl="3" w:tplc="89BEBC40">
      <w:start w:val="1"/>
      <w:numFmt w:val="decimal"/>
      <w:lvlText w:val="%4."/>
      <w:lvlJc w:val="left"/>
      <w:pPr>
        <w:ind w:left="2880" w:hanging="360"/>
      </w:pPr>
    </w:lvl>
    <w:lvl w:ilvl="4" w:tplc="6C9AAA96">
      <w:start w:val="1"/>
      <w:numFmt w:val="lowerLetter"/>
      <w:lvlText w:val="%5."/>
      <w:lvlJc w:val="left"/>
      <w:pPr>
        <w:ind w:left="3600" w:hanging="360"/>
      </w:pPr>
    </w:lvl>
    <w:lvl w:ilvl="5" w:tplc="B2A05276">
      <w:start w:val="1"/>
      <w:numFmt w:val="lowerRoman"/>
      <w:lvlText w:val="%6."/>
      <w:lvlJc w:val="right"/>
      <w:pPr>
        <w:ind w:left="4320" w:hanging="180"/>
      </w:pPr>
    </w:lvl>
    <w:lvl w:ilvl="6" w:tplc="E0DE2B1A">
      <w:start w:val="1"/>
      <w:numFmt w:val="decimal"/>
      <w:lvlText w:val="%7."/>
      <w:lvlJc w:val="left"/>
      <w:pPr>
        <w:ind w:left="5040" w:hanging="360"/>
      </w:pPr>
    </w:lvl>
    <w:lvl w:ilvl="7" w:tplc="EA5A0564">
      <w:start w:val="1"/>
      <w:numFmt w:val="lowerLetter"/>
      <w:lvlText w:val="%8."/>
      <w:lvlJc w:val="left"/>
      <w:pPr>
        <w:ind w:left="5760" w:hanging="360"/>
      </w:pPr>
    </w:lvl>
    <w:lvl w:ilvl="8" w:tplc="4B1E2E28">
      <w:start w:val="1"/>
      <w:numFmt w:val="lowerRoman"/>
      <w:lvlText w:val="%9."/>
      <w:lvlJc w:val="right"/>
      <w:pPr>
        <w:ind w:left="6480" w:hanging="180"/>
      </w:pPr>
    </w:lvl>
  </w:abstractNum>
  <w:abstractNum w:abstractNumId="34" w15:restartNumberingAfterBreak="0">
    <w:nsid w:val="5A5B2708"/>
    <w:multiLevelType w:val="hybridMultilevel"/>
    <w:tmpl w:val="E500BDCC"/>
    <w:lvl w:ilvl="0" w:tplc="82848110">
      <w:start w:val="1"/>
      <w:numFmt w:val="decimal"/>
      <w:lvlText w:val="IV.%1."/>
      <w:lvlJc w:val="left"/>
      <w:pPr>
        <w:ind w:left="720" w:hanging="360"/>
      </w:pPr>
      <w:rPr>
        <w:rFonts w:hint="default"/>
        <w:b/>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A996346"/>
    <w:multiLevelType w:val="hybridMultilevel"/>
    <w:tmpl w:val="ACC0E8FA"/>
    <w:lvl w:ilvl="0" w:tplc="711EFDF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6C11CC"/>
    <w:multiLevelType w:val="hybridMultilevel"/>
    <w:tmpl w:val="2AC423AC"/>
    <w:lvl w:ilvl="0" w:tplc="E49CCF7A">
      <w:start w:val="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343510F"/>
    <w:multiLevelType w:val="hybridMultilevel"/>
    <w:tmpl w:val="6DAE3AE6"/>
    <w:lvl w:ilvl="0" w:tplc="204C8144">
      <w:start w:val="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42E05CA"/>
    <w:multiLevelType w:val="multilevel"/>
    <w:tmpl w:val="9E304428"/>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9" w15:restartNumberingAfterBreak="0">
    <w:nsid w:val="6C7466F2"/>
    <w:multiLevelType w:val="multilevel"/>
    <w:tmpl w:val="5EB4B8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6C7A5859"/>
    <w:multiLevelType w:val="multilevel"/>
    <w:tmpl w:val="46208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0400518"/>
    <w:multiLevelType w:val="hybridMultilevel"/>
    <w:tmpl w:val="9826987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40392D"/>
    <w:multiLevelType w:val="multilevel"/>
    <w:tmpl w:val="557E1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47E6033"/>
    <w:multiLevelType w:val="multilevel"/>
    <w:tmpl w:val="B5AAE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7402552"/>
    <w:multiLevelType w:val="hybridMultilevel"/>
    <w:tmpl w:val="0BDC62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78727313"/>
    <w:multiLevelType w:val="multilevel"/>
    <w:tmpl w:val="FAEE397E"/>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6" w15:restartNumberingAfterBreak="0">
    <w:nsid w:val="7F594033"/>
    <w:multiLevelType w:val="hybridMultilevel"/>
    <w:tmpl w:val="147068D8"/>
    <w:lvl w:ilvl="0" w:tplc="04090013">
      <w:start w:val="1"/>
      <w:numFmt w:val="upperRoman"/>
      <w:lvlText w:val="%1."/>
      <w:lvlJc w:val="right"/>
      <w:pPr>
        <w:ind w:left="54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7"/>
  </w:num>
  <w:num w:numId="3">
    <w:abstractNumId w:val="26"/>
  </w:num>
  <w:num w:numId="4">
    <w:abstractNumId w:val="25"/>
  </w:num>
  <w:num w:numId="5">
    <w:abstractNumId w:val="29"/>
  </w:num>
  <w:num w:numId="6">
    <w:abstractNumId w:val="28"/>
  </w:num>
  <w:num w:numId="7">
    <w:abstractNumId w:val="1"/>
  </w:num>
  <w:num w:numId="8">
    <w:abstractNumId w:val="41"/>
  </w:num>
  <w:num w:numId="9">
    <w:abstractNumId w:val="3"/>
  </w:num>
  <w:num w:numId="10">
    <w:abstractNumId w:val="9"/>
  </w:num>
  <w:num w:numId="11">
    <w:abstractNumId w:val="0"/>
  </w:num>
  <w:num w:numId="12">
    <w:abstractNumId w:val="36"/>
  </w:num>
  <w:num w:numId="13">
    <w:abstractNumId w:val="35"/>
  </w:num>
  <w:num w:numId="14">
    <w:abstractNumId w:val="12"/>
  </w:num>
  <w:num w:numId="15">
    <w:abstractNumId w:val="21"/>
  </w:num>
  <w:num w:numId="16">
    <w:abstractNumId w:val="30"/>
  </w:num>
  <w:num w:numId="17">
    <w:abstractNumId w:val="23"/>
  </w:num>
  <w:num w:numId="18">
    <w:abstractNumId w:val="17"/>
  </w:num>
  <w:num w:numId="19">
    <w:abstractNumId w:val="37"/>
  </w:num>
  <w:num w:numId="20">
    <w:abstractNumId w:val="45"/>
  </w:num>
  <w:num w:numId="21">
    <w:abstractNumId w:val="24"/>
  </w:num>
  <w:num w:numId="22">
    <w:abstractNumId w:val="39"/>
  </w:num>
  <w:num w:numId="23">
    <w:abstractNumId w:val="38"/>
  </w:num>
  <w:num w:numId="24">
    <w:abstractNumId w:val="4"/>
  </w:num>
  <w:num w:numId="25">
    <w:abstractNumId w:val="13"/>
  </w:num>
  <w:num w:numId="26">
    <w:abstractNumId w:val="44"/>
  </w:num>
  <w:num w:numId="27">
    <w:abstractNumId w:val="16"/>
  </w:num>
  <w:num w:numId="28">
    <w:abstractNumId w:val="8"/>
  </w:num>
  <w:num w:numId="29">
    <w:abstractNumId w:val="27"/>
  </w:num>
  <w:num w:numId="30">
    <w:abstractNumId w:val="5"/>
  </w:num>
  <w:num w:numId="31">
    <w:abstractNumId w:val="14"/>
  </w:num>
  <w:num w:numId="32">
    <w:abstractNumId w:val="15"/>
  </w:num>
  <w:num w:numId="33">
    <w:abstractNumId w:val="43"/>
  </w:num>
  <w:num w:numId="34">
    <w:abstractNumId w:val="20"/>
  </w:num>
  <w:num w:numId="35">
    <w:abstractNumId w:val="22"/>
  </w:num>
  <w:num w:numId="36">
    <w:abstractNumId w:val="40"/>
  </w:num>
  <w:num w:numId="37">
    <w:abstractNumId w:val="42"/>
  </w:num>
  <w:num w:numId="38">
    <w:abstractNumId w:val="32"/>
  </w:num>
  <w:num w:numId="39">
    <w:abstractNumId w:val="19"/>
  </w:num>
  <w:num w:numId="40">
    <w:abstractNumId w:val="33"/>
  </w:num>
  <w:num w:numId="41">
    <w:abstractNumId w:val="2"/>
  </w:num>
  <w:num w:numId="42">
    <w:abstractNumId w:val="31"/>
  </w:num>
  <w:num w:numId="43">
    <w:abstractNumId w:val="46"/>
  </w:num>
  <w:num w:numId="44">
    <w:abstractNumId w:val="11"/>
  </w:num>
  <w:num w:numId="45">
    <w:abstractNumId w:val="34"/>
  </w:num>
  <w:num w:numId="46">
    <w:abstractNumId w:val="10"/>
  </w:num>
  <w:num w:numId="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295A"/>
    <w:rsid w:val="000058C0"/>
    <w:rsid w:val="000212BB"/>
    <w:rsid w:val="00022E58"/>
    <w:rsid w:val="00030286"/>
    <w:rsid w:val="00046540"/>
    <w:rsid w:val="00052072"/>
    <w:rsid w:val="00066C36"/>
    <w:rsid w:val="00071401"/>
    <w:rsid w:val="0007215E"/>
    <w:rsid w:val="00077DAE"/>
    <w:rsid w:val="000B6527"/>
    <w:rsid w:val="000C1AC3"/>
    <w:rsid w:val="000E6465"/>
    <w:rsid w:val="00112DA1"/>
    <w:rsid w:val="00136E54"/>
    <w:rsid w:val="001469CA"/>
    <w:rsid w:val="00160BC9"/>
    <w:rsid w:val="00165A30"/>
    <w:rsid w:val="00171714"/>
    <w:rsid w:val="001721EA"/>
    <w:rsid w:val="001769F5"/>
    <w:rsid w:val="00183D50"/>
    <w:rsid w:val="00192536"/>
    <w:rsid w:val="00196903"/>
    <w:rsid w:val="001D1B37"/>
    <w:rsid w:val="001E677A"/>
    <w:rsid w:val="001F1675"/>
    <w:rsid w:val="001F6445"/>
    <w:rsid w:val="00227910"/>
    <w:rsid w:val="002326C7"/>
    <w:rsid w:val="00242E2D"/>
    <w:rsid w:val="00262C6D"/>
    <w:rsid w:val="00274531"/>
    <w:rsid w:val="002754E9"/>
    <w:rsid w:val="0028237E"/>
    <w:rsid w:val="00285D35"/>
    <w:rsid w:val="00290CC6"/>
    <w:rsid w:val="002B5C83"/>
    <w:rsid w:val="003011E2"/>
    <w:rsid w:val="00331498"/>
    <w:rsid w:val="003317F3"/>
    <w:rsid w:val="00332CE9"/>
    <w:rsid w:val="00377E46"/>
    <w:rsid w:val="0038069F"/>
    <w:rsid w:val="003C151C"/>
    <w:rsid w:val="003E3152"/>
    <w:rsid w:val="003E64D1"/>
    <w:rsid w:val="004213F5"/>
    <w:rsid w:val="004345B5"/>
    <w:rsid w:val="0044147F"/>
    <w:rsid w:val="004750BC"/>
    <w:rsid w:val="004761CC"/>
    <w:rsid w:val="00497FD1"/>
    <w:rsid w:val="004B7DEB"/>
    <w:rsid w:val="004C0912"/>
    <w:rsid w:val="004F48B2"/>
    <w:rsid w:val="00510B05"/>
    <w:rsid w:val="00516C3E"/>
    <w:rsid w:val="00520008"/>
    <w:rsid w:val="00541DC0"/>
    <w:rsid w:val="00564056"/>
    <w:rsid w:val="005768C2"/>
    <w:rsid w:val="005B48A2"/>
    <w:rsid w:val="005D00AA"/>
    <w:rsid w:val="005F5F45"/>
    <w:rsid w:val="00613891"/>
    <w:rsid w:val="006411DD"/>
    <w:rsid w:val="00643A2E"/>
    <w:rsid w:val="00684AD6"/>
    <w:rsid w:val="00685E79"/>
    <w:rsid w:val="006978A6"/>
    <w:rsid w:val="006A0A39"/>
    <w:rsid w:val="006A295A"/>
    <w:rsid w:val="006A33C0"/>
    <w:rsid w:val="006A6D67"/>
    <w:rsid w:val="006A7479"/>
    <w:rsid w:val="006B6625"/>
    <w:rsid w:val="006C2D5C"/>
    <w:rsid w:val="006F225D"/>
    <w:rsid w:val="00701D97"/>
    <w:rsid w:val="007467A3"/>
    <w:rsid w:val="007519E4"/>
    <w:rsid w:val="00760D3F"/>
    <w:rsid w:val="007647E8"/>
    <w:rsid w:val="00772840"/>
    <w:rsid w:val="007731F3"/>
    <w:rsid w:val="0078327E"/>
    <w:rsid w:val="00784806"/>
    <w:rsid w:val="007A6589"/>
    <w:rsid w:val="007B10B6"/>
    <w:rsid w:val="007B4408"/>
    <w:rsid w:val="007E2644"/>
    <w:rsid w:val="007E3624"/>
    <w:rsid w:val="007F31CF"/>
    <w:rsid w:val="008024B6"/>
    <w:rsid w:val="008652AF"/>
    <w:rsid w:val="008912C0"/>
    <w:rsid w:val="008937CB"/>
    <w:rsid w:val="008B156E"/>
    <w:rsid w:val="008D2900"/>
    <w:rsid w:val="008E2681"/>
    <w:rsid w:val="008E45CC"/>
    <w:rsid w:val="00904429"/>
    <w:rsid w:val="00913139"/>
    <w:rsid w:val="00922835"/>
    <w:rsid w:val="00943C6A"/>
    <w:rsid w:val="00954C4C"/>
    <w:rsid w:val="00956154"/>
    <w:rsid w:val="00967367"/>
    <w:rsid w:val="009C3CAE"/>
    <w:rsid w:val="009D682F"/>
    <w:rsid w:val="00A037AB"/>
    <w:rsid w:val="00A73345"/>
    <w:rsid w:val="00A82A11"/>
    <w:rsid w:val="00A94E3C"/>
    <w:rsid w:val="00B04290"/>
    <w:rsid w:val="00B0550D"/>
    <w:rsid w:val="00B530E6"/>
    <w:rsid w:val="00B7701A"/>
    <w:rsid w:val="00B969A3"/>
    <w:rsid w:val="00BC0A41"/>
    <w:rsid w:val="00BD7E23"/>
    <w:rsid w:val="00BE1901"/>
    <w:rsid w:val="00BF5D43"/>
    <w:rsid w:val="00C14395"/>
    <w:rsid w:val="00C24E5A"/>
    <w:rsid w:val="00C2526E"/>
    <w:rsid w:val="00C26A7F"/>
    <w:rsid w:val="00C26B71"/>
    <w:rsid w:val="00C4389A"/>
    <w:rsid w:val="00C8208C"/>
    <w:rsid w:val="00C9252D"/>
    <w:rsid w:val="00CA4DD1"/>
    <w:rsid w:val="00CA651C"/>
    <w:rsid w:val="00CC097F"/>
    <w:rsid w:val="00CD6566"/>
    <w:rsid w:val="00CF3DED"/>
    <w:rsid w:val="00D255C2"/>
    <w:rsid w:val="00D474CF"/>
    <w:rsid w:val="00D659D0"/>
    <w:rsid w:val="00D6741F"/>
    <w:rsid w:val="00D74F7F"/>
    <w:rsid w:val="00D913C4"/>
    <w:rsid w:val="00DD2528"/>
    <w:rsid w:val="00DD5909"/>
    <w:rsid w:val="00DE445D"/>
    <w:rsid w:val="00E1290B"/>
    <w:rsid w:val="00E144F4"/>
    <w:rsid w:val="00E9424E"/>
    <w:rsid w:val="00EC1BFE"/>
    <w:rsid w:val="00EC50A3"/>
    <w:rsid w:val="00EF551B"/>
    <w:rsid w:val="00EF70D6"/>
    <w:rsid w:val="00F27C59"/>
    <w:rsid w:val="00F466AB"/>
    <w:rsid w:val="00F472AC"/>
    <w:rsid w:val="00F51291"/>
    <w:rsid w:val="00F61891"/>
    <w:rsid w:val="00F72A19"/>
    <w:rsid w:val="00F820D3"/>
    <w:rsid w:val="00F82AF9"/>
    <w:rsid w:val="00F87C63"/>
    <w:rsid w:val="00F948AE"/>
    <w:rsid w:val="00FE78B0"/>
    <w:rsid w:val="00FF3899"/>
    <w:rsid w:val="00FF3C53"/>
    <w:rsid w:val="00FF45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8ABF5AB"/>
  <w14:defaultImageDpi w14:val="300"/>
  <w15:docId w15:val="{F7173E27-DD42-4A04-B125-DB1869A18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295A"/>
    <w:rPr>
      <w:rFonts w:ascii="Times New Roman" w:eastAsia="Times New Roman" w:hAnsi="Times New Roman" w:cs="Times New Roman"/>
    </w:rPr>
  </w:style>
  <w:style w:type="paragraph" w:styleId="Heading1">
    <w:name w:val="heading 1"/>
    <w:basedOn w:val="Normal"/>
    <w:next w:val="Normal"/>
    <w:link w:val="Heading1Char"/>
    <w:qFormat/>
    <w:rsid w:val="006A295A"/>
    <w:pPr>
      <w:keepNext/>
      <w:ind w:left="-720"/>
      <w:jc w:val="center"/>
      <w:outlineLvl w:val="0"/>
    </w:pPr>
    <w:rPr>
      <w:sz w:val="40"/>
    </w:rPr>
  </w:style>
  <w:style w:type="paragraph" w:styleId="Heading4">
    <w:name w:val="heading 4"/>
    <w:basedOn w:val="Normal"/>
    <w:next w:val="Normal"/>
    <w:link w:val="Heading4Char"/>
    <w:uiPriority w:val="9"/>
    <w:semiHidden/>
    <w:unhideWhenUsed/>
    <w:qFormat/>
    <w:rsid w:val="00F27C59"/>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77DAE"/>
    <w:rPr>
      <w:color w:val="3366FF"/>
      <w:u w:val="none"/>
    </w:rPr>
  </w:style>
  <w:style w:type="character" w:styleId="FollowedHyperlink">
    <w:name w:val="FollowedHyperlink"/>
    <w:qFormat/>
    <w:rsid w:val="00077DAE"/>
    <w:rPr>
      <w:color w:val="3366FF"/>
      <w:u w:val="none"/>
    </w:rPr>
  </w:style>
  <w:style w:type="character" w:customStyle="1" w:styleId="Heading1Char">
    <w:name w:val="Heading 1 Char"/>
    <w:basedOn w:val="DefaultParagraphFont"/>
    <w:link w:val="Heading1"/>
    <w:rsid w:val="006A295A"/>
    <w:rPr>
      <w:rFonts w:ascii="Times New Roman" w:eastAsia="Times New Roman" w:hAnsi="Times New Roman" w:cs="Times New Roman"/>
      <w:sz w:val="40"/>
    </w:rPr>
  </w:style>
  <w:style w:type="paragraph" w:customStyle="1" w:styleId="Tabletext">
    <w:name w:val="Table text"/>
    <w:basedOn w:val="Normal"/>
    <w:uiPriority w:val="99"/>
    <w:rsid w:val="006A295A"/>
    <w:rPr>
      <w:rFonts w:ascii="Arial" w:hAnsi="Arial"/>
      <w:sz w:val="22"/>
      <w:szCs w:val="20"/>
      <w:lang w:val="en-GB"/>
    </w:rPr>
  </w:style>
  <w:style w:type="paragraph" w:customStyle="1" w:styleId="FrontPageTitle">
    <w:name w:val="Front Page Title"/>
    <w:basedOn w:val="Normal"/>
    <w:rsid w:val="006A295A"/>
    <w:pPr>
      <w:spacing w:before="180"/>
      <w:jc w:val="right"/>
    </w:pPr>
    <w:rPr>
      <w:rFonts w:cs="Arial"/>
      <w:b/>
      <w:bCs/>
      <w:sz w:val="40"/>
    </w:rPr>
  </w:style>
  <w:style w:type="paragraph" w:customStyle="1" w:styleId="FrontPageSubtitle">
    <w:name w:val="Front Page Subtitle"/>
    <w:basedOn w:val="FrontPageTitle"/>
    <w:rsid w:val="006A295A"/>
    <w:rPr>
      <w:sz w:val="32"/>
    </w:rPr>
  </w:style>
  <w:style w:type="paragraph" w:styleId="FootnoteText">
    <w:name w:val="footnote text"/>
    <w:basedOn w:val="Normal"/>
    <w:link w:val="FootnoteTextChar"/>
    <w:uiPriority w:val="99"/>
    <w:rsid w:val="006A295A"/>
    <w:rPr>
      <w:sz w:val="20"/>
      <w:szCs w:val="20"/>
    </w:rPr>
  </w:style>
  <w:style w:type="character" w:customStyle="1" w:styleId="FootnoteTextChar">
    <w:name w:val="Footnote Text Char"/>
    <w:basedOn w:val="DefaultParagraphFont"/>
    <w:link w:val="FootnoteText"/>
    <w:uiPriority w:val="99"/>
    <w:rsid w:val="006A295A"/>
    <w:rPr>
      <w:rFonts w:ascii="Times New Roman" w:eastAsia="Times New Roman" w:hAnsi="Times New Roman" w:cs="Times New Roman"/>
      <w:sz w:val="20"/>
      <w:szCs w:val="20"/>
    </w:rPr>
  </w:style>
  <w:style w:type="character" w:styleId="FootnoteReference">
    <w:name w:val="footnote reference"/>
    <w:uiPriority w:val="99"/>
    <w:rsid w:val="006A295A"/>
    <w:rPr>
      <w:vertAlign w:val="superscript"/>
    </w:rPr>
  </w:style>
  <w:style w:type="character" w:customStyle="1" w:styleId="ms-rtethemeforecolor-2-01">
    <w:name w:val="ms-rtethemeforecolor-2-01"/>
    <w:rsid w:val="006A295A"/>
    <w:rPr>
      <w:color w:val="000000"/>
    </w:rPr>
  </w:style>
  <w:style w:type="paragraph" w:styleId="BalloonText">
    <w:name w:val="Balloon Text"/>
    <w:basedOn w:val="Normal"/>
    <w:link w:val="BalloonTextChar"/>
    <w:uiPriority w:val="99"/>
    <w:semiHidden/>
    <w:unhideWhenUsed/>
    <w:rsid w:val="006A295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A295A"/>
    <w:rPr>
      <w:rFonts w:ascii="Lucida Grande" w:eastAsia="Times New Roman" w:hAnsi="Lucida Grande" w:cs="Lucida Grande"/>
      <w:sz w:val="18"/>
      <w:szCs w:val="18"/>
    </w:rPr>
  </w:style>
  <w:style w:type="paragraph" w:styleId="Header">
    <w:name w:val="header"/>
    <w:basedOn w:val="Normal"/>
    <w:link w:val="HeaderChar"/>
    <w:uiPriority w:val="99"/>
    <w:unhideWhenUsed/>
    <w:rsid w:val="00956154"/>
    <w:pPr>
      <w:tabs>
        <w:tab w:val="center" w:pos="4680"/>
        <w:tab w:val="right" w:pos="9360"/>
      </w:tabs>
    </w:pPr>
  </w:style>
  <w:style w:type="character" w:customStyle="1" w:styleId="HeaderChar">
    <w:name w:val="Header Char"/>
    <w:basedOn w:val="DefaultParagraphFont"/>
    <w:link w:val="Header"/>
    <w:uiPriority w:val="99"/>
    <w:rsid w:val="00956154"/>
    <w:rPr>
      <w:rFonts w:ascii="Times New Roman" w:eastAsia="Times New Roman" w:hAnsi="Times New Roman" w:cs="Times New Roman"/>
    </w:rPr>
  </w:style>
  <w:style w:type="paragraph" w:styleId="Footer">
    <w:name w:val="footer"/>
    <w:basedOn w:val="Normal"/>
    <w:link w:val="FooterChar"/>
    <w:uiPriority w:val="99"/>
    <w:unhideWhenUsed/>
    <w:rsid w:val="00956154"/>
    <w:pPr>
      <w:tabs>
        <w:tab w:val="center" w:pos="4680"/>
        <w:tab w:val="right" w:pos="9360"/>
      </w:tabs>
    </w:pPr>
  </w:style>
  <w:style w:type="character" w:customStyle="1" w:styleId="FooterChar">
    <w:name w:val="Footer Char"/>
    <w:basedOn w:val="DefaultParagraphFont"/>
    <w:link w:val="Footer"/>
    <w:uiPriority w:val="99"/>
    <w:rsid w:val="00956154"/>
    <w:rPr>
      <w:rFonts w:ascii="Times New Roman" w:eastAsia="Times New Roman" w:hAnsi="Times New Roman" w:cs="Times New Roman"/>
    </w:rPr>
  </w:style>
  <w:style w:type="paragraph" w:styleId="ListParagraph">
    <w:name w:val="List Paragraph"/>
    <w:basedOn w:val="Normal"/>
    <w:uiPriority w:val="34"/>
    <w:qFormat/>
    <w:rsid w:val="00052072"/>
    <w:pPr>
      <w:contextualSpacing/>
    </w:pPr>
    <w:rPr>
      <w:rFonts w:asciiTheme="minorHAnsi" w:eastAsiaTheme="minorEastAsia" w:hAnsiTheme="minorHAnsi" w:cstheme="minorBidi"/>
    </w:rPr>
  </w:style>
  <w:style w:type="paragraph" w:styleId="NoSpacing">
    <w:name w:val="No Spacing"/>
    <w:basedOn w:val="Normal"/>
    <w:link w:val="NoSpacingChar"/>
    <w:uiPriority w:val="1"/>
    <w:qFormat/>
    <w:rsid w:val="00052072"/>
    <w:rPr>
      <w:rFonts w:asciiTheme="minorHAnsi" w:eastAsiaTheme="minorEastAsia" w:hAnsiTheme="minorHAnsi" w:cstheme="minorBidi"/>
    </w:rPr>
  </w:style>
  <w:style w:type="paragraph" w:customStyle="1" w:styleId="BulletedList">
    <w:name w:val="BulletedList"/>
    <w:basedOn w:val="NoSpacing"/>
    <w:rsid w:val="00052072"/>
    <w:pPr>
      <w:numPr>
        <w:numId w:val="1"/>
      </w:numPr>
    </w:pPr>
  </w:style>
  <w:style w:type="paragraph" w:customStyle="1" w:styleId="Boldoneline">
    <w:name w:val="Boldoneline"/>
    <w:basedOn w:val="NoSpacing"/>
    <w:qFormat/>
    <w:rsid w:val="00052072"/>
    <w:pPr>
      <w:spacing w:before="360"/>
    </w:pPr>
    <w:rPr>
      <w:b/>
    </w:rPr>
  </w:style>
  <w:style w:type="character" w:customStyle="1" w:styleId="Heading4Char">
    <w:name w:val="Heading 4 Char"/>
    <w:basedOn w:val="DefaultParagraphFont"/>
    <w:link w:val="Heading4"/>
    <w:uiPriority w:val="9"/>
    <w:semiHidden/>
    <w:rsid w:val="00F27C59"/>
    <w:rPr>
      <w:rFonts w:asciiTheme="majorHAnsi" w:eastAsiaTheme="majorEastAsia" w:hAnsiTheme="majorHAnsi" w:cstheme="majorBidi"/>
      <w:b/>
      <w:bCs/>
      <w:i/>
      <w:iCs/>
      <w:color w:val="4F81BD" w:themeColor="accent1"/>
    </w:rPr>
  </w:style>
  <w:style w:type="character" w:styleId="PlaceholderText">
    <w:name w:val="Placeholder Text"/>
    <w:basedOn w:val="DefaultParagraphFont"/>
    <w:uiPriority w:val="99"/>
    <w:semiHidden/>
    <w:rsid w:val="00BF5D43"/>
    <w:rPr>
      <w:color w:val="808080"/>
    </w:rPr>
  </w:style>
  <w:style w:type="character" w:styleId="CommentReference">
    <w:name w:val="annotation reference"/>
    <w:basedOn w:val="DefaultParagraphFont"/>
    <w:uiPriority w:val="99"/>
    <w:semiHidden/>
    <w:unhideWhenUsed/>
    <w:rsid w:val="00701D97"/>
    <w:rPr>
      <w:sz w:val="16"/>
      <w:szCs w:val="16"/>
    </w:rPr>
  </w:style>
  <w:style w:type="paragraph" w:styleId="CommentText">
    <w:name w:val="annotation text"/>
    <w:basedOn w:val="Normal"/>
    <w:link w:val="CommentTextChar"/>
    <w:uiPriority w:val="99"/>
    <w:semiHidden/>
    <w:unhideWhenUsed/>
    <w:rsid w:val="00701D97"/>
    <w:rPr>
      <w:sz w:val="20"/>
      <w:szCs w:val="20"/>
    </w:rPr>
  </w:style>
  <w:style w:type="character" w:customStyle="1" w:styleId="CommentTextChar">
    <w:name w:val="Comment Text Char"/>
    <w:basedOn w:val="DefaultParagraphFont"/>
    <w:link w:val="CommentText"/>
    <w:uiPriority w:val="99"/>
    <w:semiHidden/>
    <w:rsid w:val="00701D9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01D97"/>
    <w:rPr>
      <w:b/>
      <w:bCs/>
    </w:rPr>
  </w:style>
  <w:style w:type="character" w:customStyle="1" w:styleId="CommentSubjectChar">
    <w:name w:val="Comment Subject Char"/>
    <w:basedOn w:val="CommentTextChar"/>
    <w:link w:val="CommentSubject"/>
    <w:uiPriority w:val="99"/>
    <w:semiHidden/>
    <w:rsid w:val="00701D97"/>
    <w:rPr>
      <w:rFonts w:ascii="Times New Roman" w:eastAsia="Times New Roman" w:hAnsi="Times New Roman" w:cs="Times New Roman"/>
      <w:b/>
      <w:bCs/>
      <w:sz w:val="20"/>
      <w:szCs w:val="20"/>
    </w:rPr>
  </w:style>
  <w:style w:type="paragraph" w:styleId="Revision">
    <w:name w:val="Revision"/>
    <w:hidden/>
    <w:uiPriority w:val="99"/>
    <w:semiHidden/>
    <w:rsid w:val="00285D35"/>
    <w:rPr>
      <w:rFonts w:ascii="Times New Roman" w:eastAsia="Times New Roman" w:hAnsi="Times New Roman" w:cs="Times New Roman"/>
    </w:rPr>
  </w:style>
  <w:style w:type="character" w:customStyle="1" w:styleId="UnresolvedMention1">
    <w:name w:val="Unresolved Mention1"/>
    <w:basedOn w:val="DefaultParagraphFont"/>
    <w:uiPriority w:val="99"/>
    <w:semiHidden/>
    <w:unhideWhenUsed/>
    <w:rsid w:val="00CA651C"/>
    <w:rPr>
      <w:color w:val="605E5C"/>
      <w:shd w:val="clear" w:color="auto" w:fill="E1DFDD"/>
    </w:rPr>
  </w:style>
  <w:style w:type="paragraph" w:customStyle="1" w:styleId="SingleTxt">
    <w:name w:val="__Single Txt"/>
    <w:basedOn w:val="Normal"/>
    <w:rsid w:val="00B04290"/>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spacing w:val="4"/>
      <w:w w:val="103"/>
      <w:kern w:val="14"/>
      <w:sz w:val="20"/>
      <w:szCs w:val="20"/>
      <w:lang w:val="en-GB"/>
    </w:rPr>
  </w:style>
  <w:style w:type="paragraph" w:styleId="PlainText">
    <w:name w:val="Plain Text"/>
    <w:basedOn w:val="Normal"/>
    <w:link w:val="PlainTextChar"/>
    <w:uiPriority w:val="99"/>
    <w:unhideWhenUsed/>
    <w:rsid w:val="00B04290"/>
    <w:rPr>
      <w:rFonts w:ascii="Consolas" w:eastAsia="Calibri" w:hAnsi="Consolas"/>
      <w:sz w:val="21"/>
      <w:szCs w:val="21"/>
      <w:lang w:val="x-none" w:eastAsia="x-none"/>
    </w:rPr>
  </w:style>
  <w:style w:type="character" w:customStyle="1" w:styleId="PlainTextChar">
    <w:name w:val="Plain Text Char"/>
    <w:basedOn w:val="DefaultParagraphFont"/>
    <w:link w:val="PlainText"/>
    <w:uiPriority w:val="99"/>
    <w:rsid w:val="00B04290"/>
    <w:rPr>
      <w:rFonts w:ascii="Consolas" w:eastAsia="Calibri" w:hAnsi="Consolas" w:cs="Times New Roman"/>
      <w:sz w:val="21"/>
      <w:szCs w:val="21"/>
      <w:lang w:val="x-none" w:eastAsia="x-none"/>
    </w:rPr>
  </w:style>
  <w:style w:type="character" w:customStyle="1" w:styleId="NoSpacingChar">
    <w:name w:val="No Spacing Char"/>
    <w:link w:val="NoSpacing"/>
    <w:uiPriority w:val="1"/>
    <w:rsid w:val="00B04290"/>
  </w:style>
  <w:style w:type="character" w:styleId="UnresolvedMention">
    <w:name w:val="Unresolved Mention"/>
    <w:basedOn w:val="DefaultParagraphFont"/>
    <w:uiPriority w:val="99"/>
    <w:semiHidden/>
    <w:unhideWhenUsed/>
    <w:rsid w:val="008912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g"/><Relationship Id="rId18" Type="http://schemas.openxmlformats.org/officeDocument/2006/relationships/hyperlink" Target="https://popp.undp.org/SitePages/POPPSubject.aspx?SBJID=7&amp;Menu=BusinessUnit"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intranet.undp.org/apps/security/SitePages/UNMSM.aspx"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popp.undp.org/_Layouts/15/POPPOpenDoc.aspx?ID=POPP-11-1599" TargetMode="External"/><Relationship Id="rId25" Type="http://schemas.openxmlformats.org/officeDocument/2006/relationships/hyperlink" Target="https://intranet.undp.org/apps/security/Documents/Security%20Items%20Catalogue.xlsx" TargetMode="External"/><Relationship Id="rId2" Type="http://schemas.openxmlformats.org/officeDocument/2006/relationships/customXml" Target="../customXml/item2.xml"/><Relationship Id="rId16" Type="http://schemas.openxmlformats.org/officeDocument/2006/relationships/hyperlink" Target="https://popp.undp.org/SitePages/POPPSubject.aspx?SBJID=490&amp;Menu=BusinessUnit&amp;Beta=0" TargetMode="External"/><Relationship Id="rId20" Type="http://schemas.openxmlformats.org/officeDocument/2006/relationships/hyperlink" Target="https://intranet.undp.org/apps/security/SitePages/UNMSM.aspx"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intranet.undp.org/apps/security/Documents/Implementation%20tracking%20for%20previous%20period%20UNMSM.docx"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popp.undp.org/_Layouts/15/POPPOpenDoc.aspx?ID=POPP-11-3283" TargetMode="External"/><Relationship Id="rId23" Type="http://schemas.openxmlformats.org/officeDocument/2006/relationships/hyperlink" Target="https://intranet.undp.org/apps/security/Documents/Steps%20to%20successfully%20completing%20and%20submitting%20the%20UNMSM%20Form%20(EnFrSp).docx" TargetMode="External"/><Relationship Id="rId28"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hyperlink" Target="https://popp.undp.org/SitePages/POPPSubject.aspx?SBJID=339" TargetMode="Externa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luc.vandamme@undp.org" TargetMode="External"/><Relationship Id="rId22" Type="http://schemas.openxmlformats.org/officeDocument/2006/relationships/image" Target="media/image2.png"/><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D9FFA76BB264CB1AAA9C516E5872875"/>
        <w:category>
          <w:name w:val="General"/>
          <w:gallery w:val="placeholder"/>
        </w:category>
        <w:types>
          <w:type w:val="bbPlcHdr"/>
        </w:types>
        <w:behaviors>
          <w:behavior w:val="content"/>
        </w:behaviors>
        <w:guid w:val="{FB9C98DA-2380-4963-8918-C25E1F50381E}"/>
      </w:docPartPr>
      <w:docPartBody>
        <w:p w:rsidR="007C20DE" w:rsidRDefault="00D6372B">
          <w:r w:rsidRPr="004152D5">
            <w:rPr>
              <w:rStyle w:val="PlaceholderText"/>
            </w:rPr>
            <w:t>[Effective Date]</w:t>
          </w:r>
        </w:p>
      </w:docPartBody>
    </w:docPart>
    <w:docPart>
      <w:docPartPr>
        <w:name w:val="D4AFABF47C884A3BBB12969CE9EA09DD"/>
        <w:category>
          <w:name w:val="General"/>
          <w:gallery w:val="placeholder"/>
        </w:category>
        <w:types>
          <w:type w:val="bbPlcHdr"/>
        </w:types>
        <w:behaviors>
          <w:behavior w:val="content"/>
        </w:behaviors>
        <w:guid w:val="{CF31CBF2-919E-4602-82BC-70C6CC067EFD}"/>
      </w:docPartPr>
      <w:docPartBody>
        <w:p w:rsidR="007C20DE" w:rsidRDefault="00D6372B">
          <w:r w:rsidRPr="004152D5">
            <w:rPr>
              <w:rStyle w:val="PlaceholderText"/>
            </w:rPr>
            <w:t>[POPPRefItemVersion]</w:t>
          </w:r>
        </w:p>
      </w:docPartBody>
    </w:docPart>
    <w:docPart>
      <w:docPartPr>
        <w:name w:val="B1992C68484D4243988D495CB8F86BF2"/>
        <w:category>
          <w:name w:val="General"/>
          <w:gallery w:val="placeholder"/>
        </w:category>
        <w:types>
          <w:type w:val="bbPlcHdr"/>
        </w:types>
        <w:behaviors>
          <w:behavior w:val="content"/>
        </w:behaviors>
        <w:guid w:val="{9A3F113A-0F45-4C5C-9548-D1D7568FBAAA}"/>
      </w:docPartPr>
      <w:docPartBody>
        <w:p w:rsidR="007C20DE" w:rsidRDefault="00D6372B">
          <w:r w:rsidRPr="004152D5">
            <w:rPr>
              <w:rStyle w:val="PlaceholderText"/>
            </w:rPr>
            <w:t>[Effective Date]</w:t>
          </w:r>
        </w:p>
      </w:docPartBody>
    </w:docPart>
    <w:docPart>
      <w:docPartPr>
        <w:name w:val="A74217E9DAD4494CA2B48EE9B2BC1943"/>
        <w:category>
          <w:name w:val="General"/>
          <w:gallery w:val="placeholder"/>
        </w:category>
        <w:types>
          <w:type w:val="bbPlcHdr"/>
        </w:types>
        <w:behaviors>
          <w:behavior w:val="content"/>
        </w:behaviors>
        <w:guid w:val="{4513BCF2-0DAA-4EC0-970B-65DF8054378C}"/>
      </w:docPartPr>
      <w:docPartBody>
        <w:p w:rsidR="007C20DE" w:rsidRDefault="00D6372B">
          <w:r w:rsidRPr="004152D5">
            <w:rPr>
              <w:rStyle w:val="PlaceholderText"/>
            </w:rPr>
            <w:t>[POPPRefItemVersion]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372B"/>
    <w:rsid w:val="0017418B"/>
    <w:rsid w:val="002C0081"/>
    <w:rsid w:val="005A5CEA"/>
    <w:rsid w:val="007C20DE"/>
    <w:rsid w:val="00A77EC8"/>
    <w:rsid w:val="00C40572"/>
    <w:rsid w:val="00C8350A"/>
    <w:rsid w:val="00D6372B"/>
    <w:rsid w:val="00EA4449"/>
    <w:rsid w:val="00EA7E6F"/>
    <w:rsid w:val="00FB5557"/>
    <w:rsid w:val="00FC7A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6372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UNDP_POPP_BUSINESSPROCESS_HIDDEN xmlns="8264c5cc-ec60-4b56-8111-ce635d3d139a">
      <Terms xmlns="http://schemas.microsoft.com/office/infopath/2007/PartnerControls"/>
    </UNDP_POPP_BUSINESSPROCESS_HIDDEN>
    <UNDP_POPP_NOTE xmlns="8264c5cc-ec60-4b56-8111-ce635d3d139a" xsi:nil="true"/>
    <POPPIsArchived xmlns="e560140e-7b2f-4392-90df-e7567e3021a3">false</POPPIsArchived>
    <UNDP_POPP_DOCUMENT_TYPE xmlns="8264c5cc-ec60-4b56-8111-ce635d3d139a">Template</UNDP_POPP_DOCUMENT_TYPE>
    <_dlc_DocId xmlns="8264c5cc-ec60-4b56-8111-ce635d3d139a">UNITOHR-759415523-240</_dlc_DocId>
    <Location xmlns="e560140e-7b2f-4392-90df-e7567e3021a3">Public</Location>
    <UNDP_POPP_DOCUMENT_TEMPLATE xmlns="8264c5cc-ec60-4b56-8111-ce635d3d139a" xsi:nil="true"/>
    <TaxCatchAll xmlns="8264c5cc-ec60-4b56-8111-ce635d3d139a">
      <Value>357</Value>
    </TaxCatchAll>
    <UNDP_POPP_VERSION_COMMENTS xmlns="8264c5cc-ec60-4b56-8111-ce635d3d139a" xsi:nil="true"/>
    <UNDP_POPP_DOCUMENT_LANGUAGE xmlns="8264c5cc-ec60-4b56-8111-ce635d3d139a">English</UNDP_POPP_DOCUMENT_LANGUAGE>
    <UNDP_POPP_FOCALPOINT xmlns="8264c5cc-ec60-4b56-8111-ce635d3d139a">
      <UserInfo>
        <DisplayName>i:0e.t|undpadfs|john.dada@undp.org</DisplayName>
        <AccountId>7212</AccountId>
        <AccountType/>
      </UserInfo>
      <UserInfo>
        <DisplayName>i:0e.t|undpadfs|luc.vandamme@undp.org</DisplayName>
        <AccountId>88</AccountId>
        <AccountType/>
      </UserInfo>
    </UNDP_POPP_FOCALPOINT>
    <l0e6ef0c43e74560bd7f3acd1f5e8571 xmlns="8264c5cc-ec60-4b56-8111-ce635d3d139a">
      <Terms xmlns="http://schemas.microsoft.com/office/infopath/2007/PartnerControls">
        <TermInfo xmlns="http://schemas.microsoft.com/office/infopath/2007/PartnerControls">
          <TermName xmlns="http://schemas.microsoft.com/office/infopath/2007/PartnerControls">Security</TermName>
          <TermId xmlns="http://schemas.microsoft.com/office/infopath/2007/PartnerControls">a74ea8cf-e202-49d5-afe4-990756c9d8ee</TermId>
        </TermInfo>
      </Terms>
    </l0e6ef0c43e74560bd7f3acd1f5e8571>
    <UNDP_POPP_PLANNED_REVIEWDATE xmlns="8264c5cc-ec60-4b56-8111-ce635d3d139a">2021-08-17T22:00:00+00:00</UNDP_POPP_PLANNED_REVIEWDATE>
    <UNDP_POPP_LASTMODIFIED xmlns="8264c5cc-ec60-4b56-8111-ce635d3d139a" xsi:nil="true"/>
    <UNDP_POPP_REJECT_COMMENTS xmlns="8264c5cc-ec60-4b56-8111-ce635d3d139a" xsi:nil="true"/>
    <DLCPolicyLabelValue xmlns="e560140e-7b2f-4392-90df-e7567e3021a3">Effective Date: 18/08/2020                                                Version #: 8</DLCPolicyLabelValue>
    <UNDP_POPP_EFFECTIVEDATE xmlns="8264c5cc-ec60-4b56-8111-ce635d3d139a">2020-08-17T22:00:00+00:00</UNDP_POPP_EFFECTIVEDATE>
    <UNDP_POPP_FILEVERSION xmlns="8264c5cc-ec60-4b56-8111-ce635d3d139a">6656</UNDP_POPP_FILEVERSION>
    <UNDP_POPP_REFITEM_VERSION xmlns="8264c5cc-ec60-4b56-8111-ce635d3d139a">8</UNDP_POPP_REFITEM_VERSION>
    <UNDP_POPP_ISACTIVE xmlns="8264c5cc-ec60-4b56-8111-ce635d3d139a">true</UNDP_POPP_ISACTIVE>
    <UNDP_POPP_TITLE_EN xmlns="8264c5cc-ec60-4b56-8111-ce635d3d139a" xsi:nil="true"/>
    <_dlc_DocIdUrl xmlns="8264c5cc-ec60-4b56-8111-ce635d3d139a">
      <Url>https://intranet.undp.org/unit/ohr/spu/_layouts/15/DocIdRedir.aspx?ID=UNITOHR-759415523-240</Url>
      <Description>UNITOHR-759415523-240</Description>
    </_dlc_DocIdUrl>
    <DLCPolicyLabelLock xmlns="e560140e-7b2f-4392-90df-e7567e3021a3" xsi:nil="true"/>
    <DLCPolicyLabelClientValue xmlns="e560140e-7b2f-4392-90df-e7567e3021a3">Effective Date: 8/17/2020                                                Version #: 8.0</DLCPolicyLabelClientValue>
    <UNDP_POPP_BUSINESSUNITID_HIDDEN xmlns="8264c5cc-ec60-4b56-8111-ce635d3d139a"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UNDP_POPP_DOCUMENTLIB_CONTENTTYPE" ma:contentTypeID="0x01010061FF32BFFC2B4E50A3A86F4682D7D367007687F3382310C0489D2A99E053BA6D39" ma:contentTypeVersion="39" ma:contentTypeDescription="Create a new document." ma:contentTypeScope="" ma:versionID="6be656cb1c163ecae2ba3479e659beb4">
  <xsd:schema xmlns:xsd="http://www.w3.org/2001/XMLSchema" xmlns:xs="http://www.w3.org/2001/XMLSchema" xmlns:p="http://schemas.microsoft.com/office/2006/metadata/properties" xmlns:ns1="http://schemas.microsoft.com/sharepoint/v3" xmlns:ns2="8264c5cc-ec60-4b56-8111-ce635d3d139a" xmlns:ns3="e560140e-7b2f-4392-90df-e7567e3021a3" targetNamespace="http://schemas.microsoft.com/office/2006/metadata/properties" ma:root="true" ma:fieldsID="4ff6b9a3198065004b36a8a1743102d6" ns1:_="" ns2:_="" ns3:_="">
    <xsd:import namespace="http://schemas.microsoft.com/sharepoint/v3"/>
    <xsd:import namespace="8264c5cc-ec60-4b56-8111-ce635d3d139a"/>
    <xsd:import namespace="e560140e-7b2f-4392-90df-e7567e3021a3"/>
    <xsd:element name="properties">
      <xsd:complexType>
        <xsd:sequence>
          <xsd:element name="documentManagement">
            <xsd:complexType>
              <xsd:all>
                <xsd:element ref="ns2:UNDP_POPP_TITLE_EN" minOccurs="0"/>
                <xsd:element ref="ns2:UNDP_POPP_FOCALPOINT" minOccurs="0"/>
                <xsd:element ref="ns2:UNDP_POPP_DOCUMENT_TYPE"/>
                <xsd:element ref="ns2:UNDP_POPP_DOCUMENT_LANGUAGE"/>
                <xsd:element ref="ns2:UNDP_POPP_EFFECTIVEDATE" minOccurs="0"/>
                <xsd:element ref="ns2:UNDP_POPP_PLANNED_REVIEWDATE" minOccurs="0"/>
                <xsd:element ref="ns2:UNDP_POPP_VERSION_COMMENTS" minOccurs="0"/>
                <xsd:element ref="ns2:UNDP_POPP_FILEVERSION" minOccurs="0"/>
                <xsd:element ref="ns2:UNDP_POPP_ISACTIVE" minOccurs="0"/>
                <xsd:element ref="ns2:UNDP_POPP_NOTE" minOccurs="0"/>
                <xsd:element ref="ns2:UNDP_POPP_DOCUMENT_TEMPLATE" minOccurs="0"/>
                <xsd:element ref="ns2:TaxCatchAll" minOccurs="0"/>
                <xsd:element ref="ns2:TaxCatchAllLabel" minOccurs="0"/>
                <xsd:element ref="ns2:UNDP_POPP_BUSINESSPROCESS_HIDDEN" minOccurs="0"/>
                <xsd:element ref="ns2:UNDP_POPP_BUSINESSUNITID_HIDDEN" minOccurs="0"/>
                <xsd:element ref="ns2:l0e6ef0c43e74560bd7f3acd1f5e8571" minOccurs="0"/>
                <xsd:element ref="ns3:Location" minOccurs="0"/>
                <xsd:element ref="ns2:_dlc_DocId" minOccurs="0"/>
                <xsd:element ref="ns2:_dlc_DocIdUrl" minOccurs="0"/>
                <xsd:element ref="ns2:_dlc_DocIdPersistId" minOccurs="0"/>
                <xsd:element ref="ns1:_dlc_Exempt" minOccurs="0"/>
                <xsd:element ref="ns3:DLCPolicyLabelValue" minOccurs="0"/>
                <xsd:element ref="ns3:DLCPolicyLabelClientValue" minOccurs="0"/>
                <xsd:element ref="ns3:DLCPolicyLabelLock" minOccurs="0"/>
                <xsd:element ref="ns2:UNDP_POPP_REFITEM_VERSION" minOccurs="0"/>
                <xsd:element ref="ns2:UNDP_POPP_LASTMODIFIED" minOccurs="0"/>
                <xsd:element ref="ns2:UNDP_POPP_REJECT_COMMENTS" minOccurs="0"/>
                <xsd:element ref="ns3:POPPIsArchiv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64c5cc-ec60-4b56-8111-ce635d3d139a" elementFormDefault="qualified">
    <xsd:import namespace="http://schemas.microsoft.com/office/2006/documentManagement/types"/>
    <xsd:import namespace="http://schemas.microsoft.com/office/infopath/2007/PartnerControls"/>
    <xsd:element name="UNDP_POPP_TITLE_EN" ma:index="1" nillable="true" ma:displayName="Title_EN" ma:indexed="true" ma:internalName="UNDP_POPP_TITLE_EN">
      <xsd:simpleType>
        <xsd:restriction base="dms:Text">
          <xsd:maxLength value="255"/>
        </xsd:restriction>
      </xsd:simpleType>
    </xsd:element>
    <xsd:element name="UNDP_POPP_FOCALPOINT" ma:index="3" nillable="true" ma:displayName="Focal Point" ma:SharePointGroup="0" ma:internalName="UNDP_POPP_FOCALPOI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_POPP_DOCUMENT_TYPE" ma:index="5" ma:displayName="Document TYPE" ma:default="Template" ma:format="Dropdown" ma:indexed="true" ma:internalName="UNDP_POPP_DOCUMENT_TYPE" ma:readOnly="false">
      <xsd:simpleType>
        <xsd:restriction base="dms:Choice">
          <xsd:enumeration value="Regulation"/>
          <xsd:enumeration value="Policy"/>
          <xsd:enumeration value="Template"/>
        </xsd:restriction>
      </xsd:simpleType>
    </xsd:element>
    <xsd:element name="UNDP_POPP_DOCUMENT_LANGUAGE" ma:index="6" ma:displayName="Document Language" ma:default="English" ma:format="Dropdown" ma:indexed="true" ma:internalName="UNDP_POPP_DOCUMENT_LANGUAGE" ma:readOnly="false">
      <xsd:simpleType>
        <xsd:restriction base="dms:Choice">
          <xsd:enumeration value="English"/>
          <xsd:enumeration value="Spanish"/>
          <xsd:enumeration value="French"/>
          <xsd:enumeration value="Arabic"/>
          <xsd:enumeration value="Portuguese"/>
        </xsd:restriction>
      </xsd:simpleType>
    </xsd:element>
    <xsd:element name="UNDP_POPP_EFFECTIVEDATE" ma:index="7" nillable="true" ma:displayName="Effective Date" ma:format="DateOnly" ma:internalName="UNDP_POPP_EFFECTIVEDATE">
      <xsd:simpleType>
        <xsd:restriction base="dms:DateTime"/>
      </xsd:simpleType>
    </xsd:element>
    <xsd:element name="UNDP_POPP_PLANNED_REVIEWDATE" ma:index="8" nillable="true" ma:displayName="Planned Review Date" ma:format="DateOnly" ma:internalName="UNDP_POPP_PLANNED_REVIEWDATE">
      <xsd:simpleType>
        <xsd:restriction base="dms:DateTime"/>
      </xsd:simpleType>
    </xsd:element>
    <xsd:element name="UNDP_POPP_VERSION_COMMENTS" ma:index="9" nillable="true" ma:displayName="Version Comments" ma:internalName="UNDP_POPP_VERSION_COMMENTS">
      <xsd:simpleType>
        <xsd:restriction base="dms:Note">
          <xsd:maxLength value="255"/>
        </xsd:restriction>
      </xsd:simpleType>
    </xsd:element>
    <xsd:element name="UNDP_POPP_FILEVERSION" ma:index="10" nillable="true" ma:displayName="FileVersionID" ma:decimals="0" ma:internalName="UNDP_POPP_FILEVERSION">
      <xsd:simpleType>
        <xsd:restriction base="dms:Number"/>
      </xsd:simpleType>
    </xsd:element>
    <xsd:element name="UNDP_POPP_ISACTIVE" ma:index="11" nillable="true" ma:displayName="POPPIsActive" ma:default="1" ma:internalName="UNDP_POPP_ISACTIVE">
      <xsd:simpleType>
        <xsd:restriction base="dms:Boolean"/>
      </xsd:simpleType>
    </xsd:element>
    <xsd:element name="UNDP_POPP_NOTE" ma:index="12" nillable="true" ma:displayName="Notes" ma:internalName="UNDP_POPP_NOTE">
      <xsd:simpleType>
        <xsd:restriction base="dms:Note">
          <xsd:maxLength value="255"/>
        </xsd:restriction>
      </xsd:simpleType>
    </xsd:element>
    <xsd:element name="UNDP_POPP_DOCUMENT_TEMPLATE" ma:index="13" nillable="true" ma:displayName="Document Template" ma:internalName="UNDP_POPP_DOCUMENT_TEMPLATE">
      <xsd:simpleType>
        <xsd:restriction base="dms:Text"/>
      </xsd:simpleType>
    </xsd:element>
    <xsd:element name="TaxCatchAll" ma:index="17" nillable="true" ma:displayName="Taxonomy Catch All Column" ma:hidden="true" ma:list="{ee792a02-1c68-437d-afee-526d4eee3bde}" ma:internalName="TaxCatchAll" ma:showField="CatchAllData"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hidden="true" ma:list="{ee792a02-1c68-437d-afee-526d4eee3bde}" ma:internalName="TaxCatchAllLabel" ma:readOnly="true" ma:showField="CatchAllDataLabel"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UNDP_POPP_BUSINESSPROCESS_HIDDEN" ma:index="19" nillable="true" ma:taxonomy="true" ma:internalName="UNDP_POPP_BUSINESSPROCESS_HIDDEN" ma:taxonomyFieldName="POPPBusinessProcess" ma:displayName="POPPBusinessProcess" ma:default="" ma:fieldId="{74bd8a2a-abe6-4809-9e69-96ac6e480a30}" ma:sspId="28e6c43a-9e99-4bdd-9574-a0fa4ea3b61e" ma:termSetId="602d329c-34f7-45d6-b12a-9bc8242c07ba" ma:anchorId="00000000-0000-0000-0000-000000000000" ma:open="false" ma:isKeyword="false">
      <xsd:complexType>
        <xsd:sequence>
          <xsd:element ref="pc:Terms" minOccurs="0" maxOccurs="1"/>
        </xsd:sequence>
      </xsd:complexType>
    </xsd:element>
    <xsd:element name="UNDP_POPP_BUSINESSUNITID_HIDDEN" ma:index="22" nillable="true" ma:displayName="BusinessUnitData" ma:hidden="true" ma:internalName="UNDP_POPP_BUSINESSUNITID_HIDDEN">
      <xsd:simpleType>
        <xsd:restriction base="dms:Note"/>
      </xsd:simpleType>
    </xsd:element>
    <xsd:element name="l0e6ef0c43e74560bd7f3acd1f5e8571" ma:index="23" nillable="true" ma:taxonomy="true" ma:internalName="l0e6ef0c43e74560bd7f3acd1f5e8571" ma:taxonomyFieldName="UNDP_POPP_BUSINESSUNIT" ma:displayName="BusinessUnit" ma:indexed="true" ma:default="" ma:fieldId="{50e6ef0c-43e7-4560-bd7f-3acd1f5e8571}" ma:sspId="28e6c43a-9e99-4bdd-9574-a0fa4ea3b61e" ma:termSetId="409cdc02-fd20-40c2-9bb7-655db5573ef9" ma:anchorId="00000000-0000-0000-0000-000000000000" ma:open="false" ma:isKeyword="false">
      <xsd:complexType>
        <xsd:sequence>
          <xsd:element ref="pc:Terms" minOccurs="0" maxOccurs="1"/>
        </xsd:sequence>
      </xsd:complexType>
    </xsd:element>
    <xsd:element name="_dlc_DocId" ma:index="27"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9" nillable="true" ma:displayName="Persist ID" ma:description="Keep ID on add." ma:hidden="true" ma:internalName="_dlc_DocIdPersistId" ma:readOnly="true">
      <xsd:simpleType>
        <xsd:restriction base="dms:Boolean"/>
      </xsd:simpleType>
    </xsd:element>
    <xsd:element name="UNDP_POPP_REFITEM_VERSION" ma:index="34" nillable="true" ma:displayName="POPPRefItemVersion" ma:decimals="0" ma:default="1" ma:internalName="UNDP_POPP_REFITEM_VERSION" ma:percentage="FALSE">
      <xsd:simpleType>
        <xsd:restriction base="dms:Number"/>
      </xsd:simpleType>
    </xsd:element>
    <xsd:element name="UNDP_POPP_LASTMODIFIED" ma:index="35" nillable="true" ma:displayName="POPPLastModified" ma:format="DateOnly" ma:internalName="UNDP_POPP_LASTMODIFIED">
      <xsd:simpleType>
        <xsd:restriction base="dms:DateTime"/>
      </xsd:simpleType>
    </xsd:element>
    <xsd:element name="UNDP_POPP_REJECT_COMMENTS" ma:index="37" nillable="true" ma:displayName="POPPRejectComments" ma:internalName="UNDP_POPP_REJECT_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60140e-7b2f-4392-90df-e7567e3021a3" elementFormDefault="qualified">
    <xsd:import namespace="http://schemas.microsoft.com/office/2006/documentManagement/types"/>
    <xsd:import namespace="http://schemas.microsoft.com/office/infopath/2007/PartnerControls"/>
    <xsd:element name="Location" ma:index="26" nillable="true" ma:displayName="Location" ma:internalName="Location">
      <xsd:simpleType>
        <xsd:restriction base="dms:Text">
          <xsd:maxLength value="255"/>
        </xsd:restriction>
      </xsd:simpleType>
    </xsd:element>
    <xsd:element name="DLCPolicyLabelValue" ma:index="31"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2"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3" nillable="true" ma:displayName="Label Locked" ma:description="Indicates whether the label should be updated when item properties are modified." ma:hidden="true" ma:internalName="DLCPolicyLabelLock" ma:readOnly="false">
      <xsd:simpleType>
        <xsd:restriction base="dms:Text"/>
      </xsd:simpleType>
    </xsd:element>
    <xsd:element name="POPPIsArchived" ma:index="38" nillable="true" ma:displayName="POPPIsArchived" ma:default="0" ma:internalName="POPPIsArchiv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B243C3-A726-4697-A075-A6D3D6EC7181}">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2.xml><?xml version="1.0" encoding="utf-8"?>
<ds:datastoreItem xmlns:ds="http://schemas.openxmlformats.org/officeDocument/2006/customXml" ds:itemID="{49A2CA22-59CF-485A-B445-BA3300D61766}">
  <ds:schemaRefs>
    <ds:schemaRef ds:uri="http://schemas.openxmlformats.org/officeDocument/2006/bibliography"/>
  </ds:schemaRefs>
</ds:datastoreItem>
</file>

<file path=customXml/itemProps3.xml><?xml version="1.0" encoding="utf-8"?>
<ds:datastoreItem xmlns:ds="http://schemas.openxmlformats.org/officeDocument/2006/customXml" ds:itemID="{CDFD2423-9E11-445A-8414-6D75F5AAFC72}">
  <ds:schemaRefs>
    <ds:schemaRef ds:uri="office.server.policy"/>
  </ds:schemaRefs>
</ds:datastoreItem>
</file>

<file path=customXml/itemProps4.xml><?xml version="1.0" encoding="utf-8"?>
<ds:datastoreItem xmlns:ds="http://schemas.openxmlformats.org/officeDocument/2006/customXml" ds:itemID="{861DDEC6-7435-4AC2-B328-8B0736FA152B}">
  <ds:schemaRefs>
    <ds:schemaRef ds:uri="http://schemas.microsoft.com/sharepoint/v3/contenttype/forms"/>
  </ds:schemaRefs>
</ds:datastoreItem>
</file>

<file path=customXml/itemProps5.xml><?xml version="1.0" encoding="utf-8"?>
<ds:datastoreItem xmlns:ds="http://schemas.openxmlformats.org/officeDocument/2006/customXml" ds:itemID="{678F84F5-5C7D-4717-97A2-4607CC04554C}">
  <ds:schemaRefs>
    <ds:schemaRef ds:uri="http://schemas.microsoft.com/sharepoint/events"/>
  </ds:schemaRefs>
</ds:datastoreItem>
</file>

<file path=customXml/itemProps6.xml><?xml version="1.0" encoding="utf-8"?>
<ds:datastoreItem xmlns:ds="http://schemas.openxmlformats.org/officeDocument/2006/customXml" ds:itemID="{E75D7E0B-5976-41B6-9929-F321A513D0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64c5cc-ec60-4b56-8111-ce635d3d139a"/>
    <ds:schemaRef ds:uri="e560140e-7b2f-4392-90df-e7567e302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3179</Words>
  <Characters>18125</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Esperanza M Garcia</dc:creator>
  <cp:lastModifiedBy>Jane Gagne</cp:lastModifiedBy>
  <cp:revision>2</cp:revision>
  <cp:lastPrinted>2016-03-07T17:27:00Z</cp:lastPrinted>
  <dcterms:created xsi:type="dcterms:W3CDTF">2021-02-16T21:23:00Z</dcterms:created>
  <dcterms:modified xsi:type="dcterms:W3CDTF">2021-02-16T21:23:00Z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0x01010061FF32BFFC2B4E50A3A86F4682D7D367007687F3382310C0489D2A99E053BA6D39</vt:lpwstr>
  </property>
  <property fmtid="{D5CDD505-2E9C-101B-9397-08002B2CF9AE}" pid="3" name="_dlc_DocIdItemGuid">
    <vt:lpwstr>e0a9f251-13fb-4804-bc3a-36ff8a0b51e1</vt:lpwstr>
  </property>
  <property fmtid="{D5CDD505-2E9C-101B-9397-08002B2CF9AE}" pid="4" name="BusinessUnit">
    <vt:lpwstr>349;#Human Resources Management|1f57ad6b-760b-4b5a-be19-36e6fe76fd85</vt:lpwstr>
  </property>
  <property fmtid="{D5CDD505-2E9C-101B-9397-08002B2CF9AE}" pid="5" name="POPPBusinessProcess">
    <vt:lpwstr/>
  </property>
  <property fmtid="{D5CDD505-2E9C-101B-9397-08002B2CF9AE}" pid="6" name="l0e6ef0c43e74560bd7f3acd1f5e8571">
    <vt:lpwstr>Human Resources Management|1f57ad6b-760b-4b5a-be19-36e6fe76fd85</vt:lpwstr>
  </property>
  <property fmtid="{D5CDD505-2E9C-101B-9397-08002B2CF9AE}" pid="7" name="UNDP_POPP_BUSINESSUNIT">
    <vt:lpwstr>357;#Security|a74ea8cf-e202-49d5-afe4-990756c9d8ee</vt:lpwstr>
  </property>
  <property fmtid="{D5CDD505-2E9C-101B-9397-08002B2CF9AE}" pid="8" name="UNDPCountry">
    <vt:lpwstr/>
  </property>
  <property fmtid="{D5CDD505-2E9C-101B-9397-08002B2CF9AE}" pid="9" name="UndpDocTypeMM">
    <vt:lpwstr/>
  </property>
  <property fmtid="{D5CDD505-2E9C-101B-9397-08002B2CF9AE}" pid="10" name="UNDPDocumentCategory">
    <vt:lpwstr/>
  </property>
  <property fmtid="{D5CDD505-2E9C-101B-9397-08002B2CF9AE}" pid="11" name="UN Languages">
    <vt:lpwstr/>
  </property>
  <property fmtid="{D5CDD505-2E9C-101B-9397-08002B2CF9AE}" pid="12" name="UndpUnitMM">
    <vt:lpwstr/>
  </property>
  <property fmtid="{D5CDD505-2E9C-101B-9397-08002B2CF9AE}" pid="13" name="eRegFilingCodeMM">
    <vt:lpwstr/>
  </property>
  <property fmtid="{D5CDD505-2E9C-101B-9397-08002B2CF9AE}" pid="14" name="UNDPFocusAreas">
    <vt:lpwstr/>
  </property>
  <property fmtid="{D5CDD505-2E9C-101B-9397-08002B2CF9AE}" pid="15" name="UNDP_POPP_BUSINESSPROCESS_HIDDEN">
    <vt:lpwstr/>
  </property>
  <property fmtid="{D5CDD505-2E9C-101B-9397-08002B2CF9AE}" pid="16" name="DLCPolicyLabelValue">
    <vt:lpwstr>Effective Date: {Effective Date}                                                Version #: {POPPRefItemVersion}</vt:lpwstr>
  </property>
  <property fmtid="{D5CDD505-2E9C-101B-9397-08002B2CF9AE}" pid="17" name="UNDP_POPP_DOCUMENT_TYPE">
    <vt:lpwstr>Policy</vt:lpwstr>
  </property>
  <property fmtid="{D5CDD505-2E9C-101B-9397-08002B2CF9AE}" pid="18" name="UNDP_POPP_VERSION_COMMENTS">
    <vt:lpwstr/>
  </property>
  <property fmtid="{D5CDD505-2E9C-101B-9397-08002B2CF9AE}" pid="19" name="UNDP_POPP_DOCUMENT_LANGUAGE">
    <vt:lpwstr>English</vt:lpwstr>
  </property>
  <property fmtid="{D5CDD505-2E9C-101B-9397-08002B2CF9AE}" pid="20" name="UNDP_POPP_FILEVERSION">
    <vt:r8>6656</vt:r8>
  </property>
  <property fmtid="{D5CDD505-2E9C-101B-9397-08002B2CF9AE}" pid="21" name="UNDP_POPP_REFITEM_VERSION">
    <vt:r8>2</vt:r8>
  </property>
  <property fmtid="{D5CDD505-2E9C-101B-9397-08002B2CF9AE}" pid="22" name="Location">
    <vt:lpwstr>Public</vt:lpwstr>
  </property>
  <property fmtid="{D5CDD505-2E9C-101B-9397-08002B2CF9AE}" pid="23" name="UndpDocStatus">
    <vt:lpwstr>Draft</vt:lpwstr>
  </property>
  <property fmtid="{D5CDD505-2E9C-101B-9397-08002B2CF9AE}" pid="24" name="UndpClassificationLevel">
    <vt:lpwstr>Internal Use Only</vt:lpwstr>
  </property>
  <property fmtid="{D5CDD505-2E9C-101B-9397-08002B2CF9AE}" pid="25" name="UndpIsTemplate">
    <vt:lpwstr>No</vt:lpwstr>
  </property>
</Properties>
</file>